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0496" w14:textId="1B0C09DA" w:rsidR="00B35E66" w:rsidRDefault="0064028B" w:rsidP="0064028B">
      <w:pPr>
        <w:jc w:val="both"/>
      </w:pPr>
      <w:r>
        <w:t>[Insert CAB Logo]</w:t>
      </w:r>
      <w:r w:rsidR="00B35E66" w:rsidRPr="00885C74">
        <w:rPr>
          <w:sz w:val="22"/>
          <w:szCs w:val="24"/>
        </w:rPr>
        <w:tab/>
      </w:r>
      <w:r w:rsidR="00885C74" w:rsidRPr="00885C74">
        <w:rPr>
          <w:sz w:val="22"/>
          <w:szCs w:val="24"/>
        </w:rPr>
        <w:tab/>
      </w:r>
      <w:r w:rsidR="00885C74" w:rsidRPr="00885C74">
        <w:rPr>
          <w:sz w:val="22"/>
          <w:szCs w:val="24"/>
        </w:rPr>
        <w:tab/>
      </w:r>
      <w:r>
        <w:rPr>
          <w:sz w:val="22"/>
          <w:szCs w:val="24"/>
        </w:rPr>
        <w:tab/>
      </w:r>
      <w:r w:rsidR="00B35E66" w:rsidRPr="00885C74">
        <w:rPr>
          <w:rStyle w:val="Strong"/>
          <w:sz w:val="22"/>
          <w:szCs w:val="24"/>
        </w:rPr>
        <w:t>Marine Stewardship Council fisheries assessments</w:t>
      </w:r>
    </w:p>
    <w:p w14:paraId="5E0921C3" w14:textId="53F4060E" w:rsidR="00B35E66" w:rsidRDefault="00B35E66" w:rsidP="00B35E66"/>
    <w:p w14:paraId="10487FC1" w14:textId="77777777" w:rsidR="00873550" w:rsidRDefault="00873550" w:rsidP="00B35E66"/>
    <w:p w14:paraId="6E7A4024" w14:textId="77777777" w:rsidR="00B35E66" w:rsidRDefault="00B35E66" w:rsidP="004017D5"/>
    <w:p w14:paraId="465FF2AF" w14:textId="77777777" w:rsidR="00263632" w:rsidRDefault="00263632" w:rsidP="00263632">
      <w:pPr>
        <w:pStyle w:val="Heading1"/>
        <w:jc w:val="center"/>
      </w:pPr>
      <w:r>
        <w:t>[CAB]</w:t>
      </w:r>
    </w:p>
    <w:p w14:paraId="69EDFD09" w14:textId="77777777" w:rsidR="00263632" w:rsidRDefault="00263632" w:rsidP="00263632"/>
    <w:p w14:paraId="6A113DD3" w14:textId="77777777" w:rsidR="00263632" w:rsidRDefault="00263632" w:rsidP="00263632">
      <w:pPr>
        <w:pStyle w:val="Heading1"/>
        <w:jc w:val="center"/>
      </w:pPr>
      <w:r>
        <w:t>[Fishery name]</w:t>
      </w:r>
    </w:p>
    <w:p w14:paraId="327DB5A6" w14:textId="77777777" w:rsidR="00263632" w:rsidRDefault="00263632" w:rsidP="00263632"/>
    <w:p w14:paraId="1BAE6DA9" w14:textId="77777777" w:rsidR="00263632" w:rsidRDefault="00263632" w:rsidP="00263632">
      <w:pPr>
        <w:pStyle w:val="Heading1"/>
        <w:jc w:val="center"/>
      </w:pPr>
      <w:r>
        <w:t>MSC Inseparable or Practicably Inseparable (IPI) Announcement</w:t>
      </w:r>
    </w:p>
    <w:p w14:paraId="116BB5CB" w14:textId="0DB1A365" w:rsidR="00B35E66" w:rsidRDefault="00263632" w:rsidP="00263632">
      <w:pPr>
        <w:pStyle w:val="Heading1"/>
        <w:jc w:val="center"/>
      </w:pPr>
      <w:r>
        <w:t>[Date]</w:t>
      </w:r>
    </w:p>
    <w:p w14:paraId="444B7DA8" w14:textId="1F207318" w:rsidR="00B35E66" w:rsidRDefault="00B35E66">
      <w:r>
        <w:br w:type="page"/>
      </w:r>
    </w:p>
    <w:p w14:paraId="10E8DC77" w14:textId="534EB5E8" w:rsidR="00365249" w:rsidRPr="00D82234" w:rsidRDefault="00365249" w:rsidP="00D82234">
      <w:pPr>
        <w:rPr>
          <w:i/>
          <w:iCs/>
          <w:u w:val="single"/>
        </w:rPr>
      </w:pPr>
      <w:r w:rsidRPr="00D82234">
        <w:rPr>
          <w:i/>
          <w:iCs/>
          <w:u w:val="single"/>
        </w:rPr>
        <w:lastRenderedPageBreak/>
        <w:t xml:space="preserve">Instructions to CABs </w:t>
      </w:r>
      <w:r w:rsidR="009E5AEA" w:rsidRPr="009E5AEA">
        <w:rPr>
          <w:i/>
          <w:iCs/>
          <w:u w:val="single"/>
        </w:rPr>
        <w:t>and assessment teams</w:t>
      </w:r>
    </w:p>
    <w:p w14:paraId="550EC7D3" w14:textId="77777777" w:rsidR="002A2A3D" w:rsidRDefault="002A2A3D" w:rsidP="005A08A3">
      <w:pPr>
        <w:rPr>
          <w:i/>
          <w:iCs/>
        </w:rPr>
      </w:pPr>
    </w:p>
    <w:p w14:paraId="4780BFFB" w14:textId="2FC28901" w:rsidR="002A2A3D" w:rsidRPr="002A2A3D" w:rsidRDefault="002A2A3D" w:rsidP="005A08A3">
      <w:pPr>
        <w:rPr>
          <w:b/>
          <w:bCs/>
          <w:i/>
          <w:iCs/>
        </w:rPr>
      </w:pPr>
      <w:r w:rsidRPr="002A2A3D">
        <w:rPr>
          <w:b/>
          <w:bCs/>
          <w:i/>
          <w:iCs/>
        </w:rPr>
        <w:t>For IPI catches in non-salmon fisheries</w:t>
      </w:r>
    </w:p>
    <w:p w14:paraId="2A4F5275" w14:textId="5859EB49" w:rsidR="005A08A3" w:rsidRPr="005A08A3" w:rsidRDefault="005A08A3" w:rsidP="005A08A3">
      <w:pPr>
        <w:rPr>
          <w:i/>
          <w:iCs/>
        </w:rPr>
      </w:pPr>
      <w:r w:rsidRPr="005A08A3">
        <w:rPr>
          <w:i/>
          <w:iCs/>
        </w:rPr>
        <w:t>This template details the information required from Conformity Assessment Bodies (CABs) when announcing that Inseparable or Practicably Inseparable (IPI) stocks are identified (FCP v2.</w:t>
      </w:r>
      <w:r w:rsidR="00FB1CD8">
        <w:rPr>
          <w:i/>
          <w:iCs/>
        </w:rPr>
        <w:t>2</w:t>
      </w:r>
      <w:r w:rsidRPr="005A08A3">
        <w:rPr>
          <w:i/>
          <w:iCs/>
        </w:rPr>
        <w:t xml:space="preserve"> 7.5.12-7.5.1</w:t>
      </w:r>
      <w:r w:rsidR="00874DA0">
        <w:rPr>
          <w:i/>
          <w:iCs/>
        </w:rPr>
        <w:t>4</w:t>
      </w:r>
      <w:r w:rsidR="009539EB">
        <w:rPr>
          <w:i/>
          <w:iCs/>
        </w:rPr>
        <w:t xml:space="preserve">, </w:t>
      </w:r>
      <w:r w:rsidR="000917C9">
        <w:rPr>
          <w:i/>
          <w:iCs/>
        </w:rPr>
        <w:t>v</w:t>
      </w:r>
      <w:r w:rsidR="00FB1CD8">
        <w:rPr>
          <w:i/>
          <w:iCs/>
        </w:rPr>
        <w:t>2.3/</w:t>
      </w:r>
      <w:r w:rsidR="000917C9">
        <w:rPr>
          <w:i/>
          <w:iCs/>
        </w:rPr>
        <w:t xml:space="preserve">3.0 </w:t>
      </w:r>
      <w:r w:rsidR="00A6057C">
        <w:rPr>
          <w:i/>
          <w:iCs/>
        </w:rPr>
        <w:t>7.5.13-7.5.15</w:t>
      </w:r>
      <w:r w:rsidRPr="005A08A3">
        <w:rPr>
          <w:i/>
          <w:iCs/>
        </w:rPr>
        <w:t xml:space="preserve">). </w:t>
      </w:r>
    </w:p>
    <w:p w14:paraId="401B1198" w14:textId="2D3A7B27" w:rsidR="005A08A3" w:rsidRDefault="005A08A3" w:rsidP="005A08A3">
      <w:pPr>
        <w:rPr>
          <w:i/>
          <w:iCs/>
        </w:rPr>
      </w:pPr>
      <w:r w:rsidRPr="005A08A3">
        <w:rPr>
          <w:i/>
          <w:iCs/>
        </w:rPr>
        <w:t>The CAB shall complete question 1 and either question 2a or 2b (FCP v2.</w:t>
      </w:r>
      <w:r w:rsidR="009539EB">
        <w:rPr>
          <w:i/>
          <w:iCs/>
        </w:rPr>
        <w:t>2</w:t>
      </w:r>
      <w:r w:rsidRPr="005A08A3">
        <w:rPr>
          <w:i/>
          <w:iCs/>
        </w:rPr>
        <w:t xml:space="preserve"> 7.5.1</w:t>
      </w:r>
      <w:r w:rsidR="000A4BCD">
        <w:rPr>
          <w:i/>
          <w:iCs/>
        </w:rPr>
        <w:t>3</w:t>
      </w:r>
      <w:r w:rsidRPr="005A08A3">
        <w:rPr>
          <w:i/>
          <w:iCs/>
        </w:rPr>
        <w:t>.1 or 7.5.1</w:t>
      </w:r>
      <w:r w:rsidR="000A4BCD">
        <w:rPr>
          <w:i/>
          <w:iCs/>
        </w:rPr>
        <w:t>3</w:t>
      </w:r>
      <w:r w:rsidRPr="005A08A3">
        <w:rPr>
          <w:i/>
          <w:iCs/>
        </w:rPr>
        <w:t>.2</w:t>
      </w:r>
      <w:r w:rsidR="009539EB">
        <w:rPr>
          <w:i/>
          <w:iCs/>
        </w:rPr>
        <w:t xml:space="preserve">, </w:t>
      </w:r>
      <w:r w:rsidR="000A4BCD">
        <w:rPr>
          <w:i/>
          <w:iCs/>
        </w:rPr>
        <w:t>v</w:t>
      </w:r>
      <w:r w:rsidR="009539EB">
        <w:rPr>
          <w:i/>
          <w:iCs/>
        </w:rPr>
        <w:t>2.3</w:t>
      </w:r>
      <w:r w:rsidR="007C7816">
        <w:rPr>
          <w:i/>
          <w:iCs/>
        </w:rPr>
        <w:t>/</w:t>
      </w:r>
      <w:r w:rsidR="000A4BCD">
        <w:rPr>
          <w:i/>
          <w:iCs/>
        </w:rPr>
        <w:t xml:space="preserve">3.0 </w:t>
      </w:r>
      <w:r w:rsidR="00A629AF">
        <w:rPr>
          <w:i/>
          <w:iCs/>
        </w:rPr>
        <w:t>7.5.</w:t>
      </w:r>
      <w:r w:rsidRPr="005A08A3">
        <w:rPr>
          <w:i/>
          <w:iCs/>
        </w:rPr>
        <w:t>14.1 or 7.</w:t>
      </w:r>
      <w:r w:rsidR="00A629AF">
        <w:rPr>
          <w:i/>
          <w:iCs/>
        </w:rPr>
        <w:t>5</w:t>
      </w:r>
      <w:r w:rsidRPr="005A08A3">
        <w:rPr>
          <w:i/>
          <w:iCs/>
        </w:rPr>
        <w:t xml:space="preserve">.14.2).  </w:t>
      </w:r>
    </w:p>
    <w:p w14:paraId="3F5CC810" w14:textId="77777777" w:rsidR="005A08A3" w:rsidRPr="005A08A3" w:rsidRDefault="005A08A3" w:rsidP="005A08A3">
      <w:pPr>
        <w:rPr>
          <w:i/>
          <w:iCs/>
        </w:rPr>
      </w:pPr>
    </w:p>
    <w:p w14:paraId="697ECBCF" w14:textId="77777777" w:rsidR="005A08A3" w:rsidRPr="005A08A3" w:rsidRDefault="005A08A3" w:rsidP="005A08A3">
      <w:pPr>
        <w:rPr>
          <w:b/>
          <w:bCs/>
          <w:i/>
          <w:iCs/>
        </w:rPr>
      </w:pPr>
      <w:r w:rsidRPr="005A08A3">
        <w:rPr>
          <w:b/>
          <w:bCs/>
          <w:i/>
          <w:iCs/>
        </w:rPr>
        <w:t xml:space="preserve">For IPI catches in salmon fisheries </w:t>
      </w:r>
    </w:p>
    <w:p w14:paraId="405DAB00" w14:textId="77777777" w:rsidR="005A08A3" w:rsidRPr="005A08A3" w:rsidRDefault="005A08A3" w:rsidP="005A08A3">
      <w:pPr>
        <w:rPr>
          <w:i/>
          <w:iCs/>
        </w:rPr>
      </w:pPr>
      <w:r w:rsidRPr="005A08A3">
        <w:rPr>
          <w:i/>
          <w:iCs/>
        </w:rPr>
        <w:t xml:space="preserve">This template details the information required from Conformity Assessment Bodies (CABs) when announcing that Inseparable or Practicably Inseparable (IPI) stocks are identified in Salmon Fisheries (Fisheries Standard v3.0 SC5.1.1-SC5.1.3). </w:t>
      </w:r>
    </w:p>
    <w:p w14:paraId="647600EE" w14:textId="24895537" w:rsidR="005A08A3" w:rsidRDefault="005A08A3" w:rsidP="005A08A3">
      <w:pPr>
        <w:rPr>
          <w:i/>
          <w:iCs/>
        </w:rPr>
      </w:pPr>
      <w:r w:rsidRPr="005A08A3">
        <w:rPr>
          <w:i/>
          <w:iCs/>
        </w:rPr>
        <w:t xml:space="preserve">The CAB shall complete question 1 and either question 3a or 3b </w:t>
      </w:r>
      <w:r w:rsidRPr="007C7816">
        <w:rPr>
          <w:i/>
          <w:iCs/>
        </w:rPr>
        <w:t>(Fisheries Standard</w:t>
      </w:r>
      <w:r w:rsidRPr="005A08A3">
        <w:rPr>
          <w:i/>
          <w:iCs/>
        </w:rPr>
        <w:t xml:space="preserve"> v3.0 SC5.1.1.1 or SC5.1.1.2)</w:t>
      </w:r>
      <w:r w:rsidR="00E76D2D">
        <w:rPr>
          <w:i/>
          <w:iCs/>
        </w:rPr>
        <w:t>.</w:t>
      </w:r>
    </w:p>
    <w:p w14:paraId="2A3FB00E" w14:textId="77777777" w:rsidR="00E76D2D" w:rsidRPr="005A08A3" w:rsidRDefault="00E76D2D" w:rsidP="005A08A3">
      <w:pPr>
        <w:rPr>
          <w:i/>
          <w:iCs/>
        </w:rPr>
      </w:pPr>
    </w:p>
    <w:p w14:paraId="1E0E93D0" w14:textId="77777777" w:rsidR="005A08A3" w:rsidRPr="00E76D2D" w:rsidRDefault="005A08A3" w:rsidP="005A08A3">
      <w:pPr>
        <w:rPr>
          <w:b/>
          <w:bCs/>
          <w:i/>
          <w:iCs/>
        </w:rPr>
      </w:pPr>
      <w:r w:rsidRPr="00E76D2D">
        <w:rPr>
          <w:b/>
          <w:bCs/>
          <w:i/>
          <w:iCs/>
        </w:rPr>
        <w:t xml:space="preserve">For IPI catches in salmon and non-salmon fisheries </w:t>
      </w:r>
    </w:p>
    <w:p w14:paraId="0849E5B4" w14:textId="0B77A7FE" w:rsidR="005A08A3" w:rsidRPr="005A08A3" w:rsidRDefault="005A08A3" w:rsidP="005A08A3">
      <w:pPr>
        <w:rPr>
          <w:i/>
          <w:iCs/>
        </w:rPr>
      </w:pPr>
      <w:r w:rsidRPr="005A08A3">
        <w:rPr>
          <w:i/>
          <w:iCs/>
        </w:rPr>
        <w:t>The CAB shall upload the IPI announcement to the MSC database as early as practicable in the assessment process, and no later than the date of issue of the Client and Peer Review Draft Report to the client and to the Peer Review College (FCP v2.</w:t>
      </w:r>
      <w:r w:rsidR="006D28CB">
        <w:rPr>
          <w:i/>
          <w:iCs/>
        </w:rPr>
        <w:t>2</w:t>
      </w:r>
      <w:r w:rsidRPr="005A08A3">
        <w:rPr>
          <w:i/>
          <w:iCs/>
        </w:rPr>
        <w:t xml:space="preserve"> 7.5.1</w:t>
      </w:r>
      <w:r w:rsidR="00AC618C">
        <w:rPr>
          <w:i/>
          <w:iCs/>
        </w:rPr>
        <w:t>4</w:t>
      </w:r>
      <w:r w:rsidR="006D28CB">
        <w:rPr>
          <w:i/>
          <w:iCs/>
        </w:rPr>
        <w:t xml:space="preserve">, </w:t>
      </w:r>
      <w:r w:rsidR="00165892">
        <w:rPr>
          <w:i/>
          <w:iCs/>
        </w:rPr>
        <w:t>v3.0 7.5.15</w:t>
      </w:r>
      <w:r w:rsidRPr="005A08A3">
        <w:rPr>
          <w:i/>
          <w:iCs/>
        </w:rPr>
        <w:t>). The CAB shall upload an updated announcement in the event any of the information below changes.</w:t>
      </w:r>
    </w:p>
    <w:p w14:paraId="15FDD314" w14:textId="77777777" w:rsidR="005A08A3" w:rsidRPr="005A08A3" w:rsidRDefault="005A08A3" w:rsidP="005A08A3">
      <w:pPr>
        <w:rPr>
          <w:i/>
          <w:iCs/>
        </w:rPr>
      </w:pPr>
      <w:r w:rsidRPr="005A08A3">
        <w:rPr>
          <w:i/>
          <w:iCs/>
        </w:rPr>
        <w:t xml:space="preserve">Please complete all unshaded fields. All notes and guidance indicated in italics, please delete and replace with your specific information where relevant. </w:t>
      </w:r>
    </w:p>
    <w:p w14:paraId="0F1F71D0" w14:textId="6851C10E" w:rsidR="00365249" w:rsidRPr="00D82234" w:rsidRDefault="005A08A3" w:rsidP="005A08A3">
      <w:pPr>
        <w:rPr>
          <w:i/>
          <w:iCs/>
        </w:rPr>
      </w:pPr>
      <w:r w:rsidRPr="005A08A3">
        <w:rPr>
          <w:i/>
          <w:iCs/>
        </w:rPr>
        <w:t>If an interpretation is used, CABs shall cite it in the relevant section of the report and include a hyperlink to the interpretation.</w:t>
      </w:r>
      <w:r w:rsidR="00365249" w:rsidRPr="00D82234">
        <w:rPr>
          <w:i/>
          <w:iCs/>
        </w:rPr>
        <w:t xml:space="preserve"> </w:t>
      </w:r>
    </w:p>
    <w:p w14:paraId="445DEEA9" w14:textId="77777777" w:rsidR="00365249" w:rsidRPr="00D82234" w:rsidRDefault="00365249" w:rsidP="00D82234">
      <w:pPr>
        <w:rPr>
          <w:i/>
          <w:iCs/>
        </w:rPr>
      </w:pPr>
    </w:p>
    <w:p w14:paraId="6299A8C7" w14:textId="77777777" w:rsidR="00365249" w:rsidRPr="007F7556" w:rsidRDefault="00365249" w:rsidP="00D82234">
      <w:pPr>
        <w:rPr>
          <w:i/>
          <w:iCs/>
          <w:u w:val="single"/>
        </w:rPr>
      </w:pPr>
      <w:r w:rsidRPr="007F7556">
        <w:rPr>
          <w:i/>
          <w:iCs/>
          <w:u w:val="single"/>
        </w:rPr>
        <w:t>Corporate Branding:</w:t>
      </w:r>
    </w:p>
    <w:p w14:paraId="04179EE5" w14:textId="77777777" w:rsidR="00365249" w:rsidRPr="00D82234" w:rsidRDefault="00365249" w:rsidP="00D82234">
      <w:pPr>
        <w:rPr>
          <w:i/>
          <w:iCs/>
        </w:rPr>
      </w:pPr>
      <w:r w:rsidRPr="00D82234">
        <w:rPr>
          <w:i/>
          <w:iCs/>
        </w:rPr>
        <w:t>This template may be formatted to comply with the Conformity Assessment Body (CAB) corporate identity. The CAB shall ensure that content and structure follow the template.</w:t>
      </w:r>
    </w:p>
    <w:p w14:paraId="006DF7FE" w14:textId="77777777" w:rsidR="00365249" w:rsidRPr="00D82234" w:rsidRDefault="00365249" w:rsidP="00D82234">
      <w:pPr>
        <w:rPr>
          <w:i/>
          <w:iCs/>
        </w:rPr>
      </w:pPr>
      <w:r w:rsidRPr="00D82234">
        <w:rPr>
          <w:i/>
          <w:iCs/>
        </w:rPr>
        <w:t>Examples of appropriate amendments are:</w:t>
      </w:r>
    </w:p>
    <w:p w14:paraId="15CF7AA2" w14:textId="259CD258" w:rsidR="00365249" w:rsidRPr="007F7556" w:rsidRDefault="00365249" w:rsidP="007F7556">
      <w:pPr>
        <w:pStyle w:val="ListParagraph"/>
        <w:numPr>
          <w:ilvl w:val="0"/>
          <w:numId w:val="15"/>
        </w:numPr>
        <w:rPr>
          <w:i/>
          <w:iCs/>
        </w:rPr>
      </w:pPr>
      <w:r w:rsidRPr="007F7556">
        <w:rPr>
          <w:i/>
          <w:iCs/>
        </w:rPr>
        <w:t>A title page with the company logo;</w:t>
      </w:r>
    </w:p>
    <w:p w14:paraId="53A04489" w14:textId="7D2C3FE9" w:rsidR="00365249" w:rsidRPr="007F7556" w:rsidRDefault="00365249" w:rsidP="007F7556">
      <w:pPr>
        <w:pStyle w:val="ListParagraph"/>
        <w:numPr>
          <w:ilvl w:val="0"/>
          <w:numId w:val="15"/>
        </w:numPr>
        <w:rPr>
          <w:i/>
          <w:iCs/>
        </w:rPr>
      </w:pPr>
      <w:r w:rsidRPr="007F7556">
        <w:rPr>
          <w:i/>
          <w:iCs/>
        </w:rPr>
        <w:t>A company header and footer used throughout the report;</w:t>
      </w:r>
    </w:p>
    <w:p w14:paraId="46721D24" w14:textId="1D12FEE6" w:rsidR="00365249" w:rsidRPr="007F7556" w:rsidRDefault="00365249" w:rsidP="007F7556">
      <w:pPr>
        <w:pStyle w:val="ListParagraph"/>
        <w:numPr>
          <w:ilvl w:val="0"/>
          <w:numId w:val="15"/>
        </w:numPr>
        <w:rPr>
          <w:i/>
          <w:iCs/>
        </w:rPr>
      </w:pPr>
      <w:r w:rsidRPr="007F7556">
        <w:rPr>
          <w:i/>
          <w:iCs/>
        </w:rPr>
        <w:t>Replacement of font styles;</w:t>
      </w:r>
    </w:p>
    <w:p w14:paraId="22D4B650" w14:textId="0131BF5F" w:rsidR="00365249" w:rsidRPr="007F7556" w:rsidRDefault="00365249" w:rsidP="007F7556">
      <w:pPr>
        <w:pStyle w:val="ListParagraph"/>
        <w:numPr>
          <w:ilvl w:val="0"/>
          <w:numId w:val="15"/>
        </w:numPr>
        <w:rPr>
          <w:i/>
          <w:iCs/>
        </w:rPr>
      </w:pPr>
      <w:r w:rsidRPr="007F7556">
        <w:rPr>
          <w:i/>
          <w:iCs/>
        </w:rPr>
        <w:t>Inclusion of contact details for the assessment team members in relation to consultation</w:t>
      </w:r>
    </w:p>
    <w:p w14:paraId="5562D26F" w14:textId="3527D229" w:rsidR="00365249" w:rsidRPr="007F7556" w:rsidRDefault="00365249" w:rsidP="007F7556">
      <w:pPr>
        <w:pStyle w:val="ListParagraph"/>
        <w:numPr>
          <w:ilvl w:val="0"/>
          <w:numId w:val="15"/>
        </w:numPr>
        <w:rPr>
          <w:i/>
          <w:iCs/>
        </w:rPr>
      </w:pPr>
      <w:r w:rsidRPr="007F7556">
        <w:rPr>
          <w:i/>
          <w:iCs/>
        </w:rPr>
        <w:t>Deletion of any sections that are not applicable;</w:t>
      </w:r>
    </w:p>
    <w:p w14:paraId="4B2FCF14" w14:textId="30004AA9" w:rsidR="00365249" w:rsidRPr="007F7556" w:rsidRDefault="00365249" w:rsidP="007F7556">
      <w:pPr>
        <w:pStyle w:val="ListParagraph"/>
        <w:numPr>
          <w:ilvl w:val="0"/>
          <w:numId w:val="15"/>
        </w:numPr>
        <w:rPr>
          <w:i/>
          <w:iCs/>
        </w:rPr>
      </w:pPr>
      <w:r w:rsidRPr="007F7556">
        <w:rPr>
          <w:i/>
          <w:iCs/>
        </w:rPr>
        <w:t>Deletion of introductory text or instructions; and,</w:t>
      </w:r>
    </w:p>
    <w:p w14:paraId="04281B8B" w14:textId="580F38DF" w:rsidR="00365249" w:rsidRPr="007F7556" w:rsidRDefault="00365249" w:rsidP="007F7556">
      <w:pPr>
        <w:pStyle w:val="ListParagraph"/>
        <w:numPr>
          <w:ilvl w:val="0"/>
          <w:numId w:val="15"/>
        </w:numPr>
        <w:rPr>
          <w:i/>
          <w:iCs/>
        </w:rPr>
      </w:pPr>
      <w:r w:rsidRPr="007F7556">
        <w:rPr>
          <w:i/>
          <w:iCs/>
        </w:rPr>
        <w:t>Addition of subheadings to improve clarity and readability.</w:t>
      </w:r>
    </w:p>
    <w:p w14:paraId="11B55ED8" w14:textId="77777777" w:rsidR="00365249" w:rsidRDefault="00365249" w:rsidP="00365249"/>
    <w:p w14:paraId="7604328C" w14:textId="77777777" w:rsidR="00365249" w:rsidRDefault="00365249" w:rsidP="00365249">
      <w:r>
        <w:t xml:space="preserve"> </w:t>
      </w:r>
    </w:p>
    <w:p w14:paraId="1A1419E6" w14:textId="77777777" w:rsidR="00365249" w:rsidRDefault="00365249" w:rsidP="00365249">
      <w:r>
        <w:t xml:space="preserve"> </w:t>
      </w:r>
    </w:p>
    <w:p w14:paraId="5DF1AD30" w14:textId="77777777" w:rsidR="00D05AF7" w:rsidRDefault="00D05AF7">
      <w:r>
        <w:br w:type="page"/>
      </w:r>
    </w:p>
    <w:p w14:paraId="10325BE8" w14:textId="19289745" w:rsidR="00365249" w:rsidRDefault="00781BB4" w:rsidP="00781BB4">
      <w:pPr>
        <w:pStyle w:val="Heading1"/>
      </w:pPr>
      <w:r w:rsidRPr="00781BB4">
        <w:lastRenderedPageBreak/>
        <w:t>Marine Stewardship Council IPI announcement</w:t>
      </w:r>
    </w:p>
    <w:p w14:paraId="52D89A7B" w14:textId="77777777" w:rsidR="00365249" w:rsidRDefault="00365249" w:rsidP="00365249">
      <w:r>
        <w:t xml:space="preserve"> </w:t>
      </w:r>
    </w:p>
    <w:p w14:paraId="2938BFE3" w14:textId="71480344" w:rsidR="005938E9" w:rsidRDefault="005938E9" w:rsidP="005938E9">
      <w:pPr>
        <w:pStyle w:val="Caption"/>
      </w:pPr>
      <w:r>
        <w:t xml:space="preserve">Table </w:t>
      </w:r>
      <w:fldSimple w:instr=" SEQ Table \* ARABIC ">
        <w:r w:rsidR="001978C8">
          <w:rPr>
            <w:noProof/>
          </w:rPr>
          <w:t>1</w:t>
        </w:r>
      </w:fldSimple>
      <w:r>
        <w:t xml:space="preserve">: </w:t>
      </w:r>
      <w:r w:rsidR="00E50BE4" w:rsidRPr="00E50BE4">
        <w:t>Inseparable or practicably inseparable (IPI) catches</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2E1842" w:rsidRPr="002E1842" w14:paraId="63FB81FE" w14:textId="77777777" w:rsidTr="0015678E">
        <w:trPr>
          <w:trHeight w:val="161"/>
        </w:trPr>
        <w:tc>
          <w:tcPr>
            <w:tcW w:w="461" w:type="dxa"/>
            <w:shd w:val="clear" w:color="auto" w:fill="D9D9D9" w:themeFill="background1" w:themeFillShade="D9"/>
          </w:tcPr>
          <w:p w14:paraId="2F972786" w14:textId="315ACDCD" w:rsidR="002E1842" w:rsidRPr="002E1842" w:rsidRDefault="002E1842" w:rsidP="002E1842">
            <w:pPr>
              <w:rPr>
                <w:rStyle w:val="Strong"/>
                <w:b w:val="0"/>
                <w:bCs w:val="0"/>
              </w:rPr>
            </w:pPr>
            <w:r w:rsidRPr="002E1842">
              <w:rPr>
                <w:b/>
                <w:bCs/>
              </w:rPr>
              <w:t>1</w:t>
            </w:r>
          </w:p>
        </w:tc>
        <w:tc>
          <w:tcPr>
            <w:tcW w:w="10024" w:type="dxa"/>
            <w:shd w:val="clear" w:color="auto" w:fill="D9D9D9" w:themeFill="background1" w:themeFillShade="D9"/>
          </w:tcPr>
          <w:p w14:paraId="54D3FF71" w14:textId="29A80280" w:rsidR="002E1842" w:rsidRPr="002E1842" w:rsidRDefault="002E1842" w:rsidP="002E1842">
            <w:pPr>
              <w:rPr>
                <w:rStyle w:val="Strong"/>
                <w:b w:val="0"/>
                <w:bCs w:val="0"/>
              </w:rPr>
            </w:pPr>
            <w:r w:rsidRPr="002E1842">
              <w:rPr>
                <w:b/>
                <w:bCs/>
              </w:rPr>
              <w:t xml:space="preserve">Description of the stock(s) identified as Inseparable or Practicably Inseparable (IPI) </w:t>
            </w:r>
          </w:p>
        </w:tc>
      </w:tr>
      <w:tr w:rsidR="006C44F6" w:rsidRPr="004079C5" w14:paraId="203CE2DF" w14:textId="77777777" w:rsidTr="0015678E">
        <w:tc>
          <w:tcPr>
            <w:tcW w:w="10485" w:type="dxa"/>
            <w:gridSpan w:val="2"/>
          </w:tcPr>
          <w:p w14:paraId="6A60D191" w14:textId="77777777" w:rsidR="006C44F6" w:rsidRDefault="006C44F6" w:rsidP="006C44F6"/>
          <w:p w14:paraId="7B239CA2" w14:textId="3A84C3C8" w:rsidR="00963960" w:rsidRPr="00963960" w:rsidRDefault="00AB27B9" w:rsidP="006C44F6">
            <w:r w:rsidRPr="00AB27B9">
              <w:rPr>
                <w:i/>
                <w:iCs/>
              </w:rPr>
              <w:t>Include the species name(s)/stock identified as IPI</w:t>
            </w:r>
            <w:r w:rsidR="00B54BD1">
              <w:rPr>
                <w:i/>
                <w:iCs/>
              </w:rPr>
              <w:t>.</w:t>
            </w:r>
          </w:p>
        </w:tc>
      </w:tr>
      <w:tr w:rsidR="004A50BB" w:rsidRPr="004C29DF" w14:paraId="37ADA8F8" w14:textId="77777777" w:rsidTr="0015678E">
        <w:tc>
          <w:tcPr>
            <w:tcW w:w="461" w:type="dxa"/>
            <w:shd w:val="clear" w:color="auto" w:fill="D9D9D9" w:themeFill="background1" w:themeFillShade="D9"/>
          </w:tcPr>
          <w:p w14:paraId="5AD84DC4" w14:textId="57131183" w:rsidR="004A50BB" w:rsidRPr="004C29DF" w:rsidRDefault="004A50BB" w:rsidP="004A50BB">
            <w:pPr>
              <w:rPr>
                <w:rStyle w:val="Strong"/>
                <w:b w:val="0"/>
                <w:bCs w:val="0"/>
              </w:rPr>
            </w:pPr>
            <w:r w:rsidRPr="004C29DF">
              <w:rPr>
                <w:b/>
                <w:bCs/>
              </w:rPr>
              <w:t>2a</w:t>
            </w:r>
          </w:p>
        </w:tc>
        <w:tc>
          <w:tcPr>
            <w:tcW w:w="10024" w:type="dxa"/>
            <w:shd w:val="clear" w:color="auto" w:fill="D9D9D9" w:themeFill="background1" w:themeFillShade="D9"/>
          </w:tcPr>
          <w:p w14:paraId="372C405B" w14:textId="6D0403D7" w:rsidR="004A50BB" w:rsidRPr="004C29DF" w:rsidRDefault="004A50BB" w:rsidP="004A50BB">
            <w:pPr>
              <w:rPr>
                <w:rStyle w:val="Strong"/>
                <w:b w:val="0"/>
                <w:bCs w:val="0"/>
              </w:rPr>
            </w:pPr>
            <w:r w:rsidRPr="004C29DF">
              <w:rPr>
                <w:b/>
                <w:bCs/>
              </w:rPr>
              <w:t>Justification to indicate fish and fish products from IPI stocks may enter further chains of custody</w:t>
            </w:r>
          </w:p>
        </w:tc>
      </w:tr>
      <w:tr w:rsidR="0046643F" w:rsidRPr="004079C5" w14:paraId="346C4628" w14:textId="77777777" w:rsidTr="0015678E">
        <w:tc>
          <w:tcPr>
            <w:tcW w:w="10485" w:type="dxa"/>
            <w:gridSpan w:val="2"/>
          </w:tcPr>
          <w:p w14:paraId="15B4928E" w14:textId="77777777" w:rsidR="00A22130" w:rsidRPr="00A22130" w:rsidRDefault="00A22130" w:rsidP="00A22130"/>
          <w:p w14:paraId="2A23A48C" w14:textId="54DB899E" w:rsidR="00616EBC" w:rsidRPr="00963960" w:rsidRDefault="004C29DF" w:rsidP="004C29DF">
            <w:pPr>
              <w:rPr>
                <w:i/>
                <w:iCs/>
              </w:rPr>
            </w:pPr>
            <w:r w:rsidRPr="004C29DF">
              <w:rPr>
                <w:i/>
                <w:iCs/>
              </w:rPr>
              <w:t xml:space="preserve">Include a detailed and substantiated justification of how the catches under consideration fulfil the IPI requirements (FCP </w:t>
            </w:r>
            <w:r w:rsidR="003E1425">
              <w:rPr>
                <w:i/>
                <w:iCs/>
              </w:rPr>
              <w:t>v2.2 7.5.12.</w:t>
            </w:r>
            <w:r w:rsidR="00D46C65">
              <w:rPr>
                <w:i/>
                <w:iCs/>
              </w:rPr>
              <w:t xml:space="preserve">1.a, </w:t>
            </w:r>
            <w:r w:rsidRPr="004C29DF">
              <w:rPr>
                <w:i/>
                <w:iCs/>
              </w:rPr>
              <w:t>v2.3 7.5.1</w:t>
            </w:r>
            <w:r w:rsidR="00D35B5D">
              <w:rPr>
                <w:i/>
                <w:iCs/>
              </w:rPr>
              <w:t>3</w:t>
            </w:r>
            <w:r w:rsidRPr="004C29DF">
              <w:rPr>
                <w:i/>
                <w:iCs/>
              </w:rPr>
              <w:t xml:space="preserve">.1.a, </w:t>
            </w:r>
            <w:r w:rsidR="00881E06">
              <w:rPr>
                <w:i/>
                <w:iCs/>
              </w:rPr>
              <w:t xml:space="preserve">v3.0 </w:t>
            </w:r>
            <w:r w:rsidR="00D35B5D">
              <w:rPr>
                <w:i/>
                <w:iCs/>
              </w:rPr>
              <w:t>7.5.14.1.a, Annex PA Section 1.2 and 1.4</w:t>
            </w:r>
            <w:r w:rsidRPr="004C29DF">
              <w:rPr>
                <w:i/>
                <w:iCs/>
              </w:rPr>
              <w:t>).</w:t>
            </w:r>
          </w:p>
        </w:tc>
      </w:tr>
      <w:tr w:rsidR="005377E5" w:rsidRPr="005377E5" w14:paraId="6963DD7D" w14:textId="77777777" w:rsidTr="008C6007">
        <w:trPr>
          <w:trHeight w:val="161"/>
        </w:trPr>
        <w:tc>
          <w:tcPr>
            <w:tcW w:w="461" w:type="dxa"/>
            <w:shd w:val="clear" w:color="auto" w:fill="D9D9D9" w:themeFill="background1" w:themeFillShade="D9"/>
          </w:tcPr>
          <w:p w14:paraId="71F123DD" w14:textId="04D10393" w:rsidR="005377E5" w:rsidRPr="005377E5" w:rsidRDefault="005377E5" w:rsidP="005377E5">
            <w:pPr>
              <w:rPr>
                <w:rStyle w:val="Strong"/>
              </w:rPr>
            </w:pPr>
            <w:r w:rsidRPr="005377E5">
              <w:rPr>
                <w:b/>
                <w:bCs/>
              </w:rPr>
              <w:t>2b</w:t>
            </w:r>
          </w:p>
        </w:tc>
        <w:tc>
          <w:tcPr>
            <w:tcW w:w="10024" w:type="dxa"/>
            <w:shd w:val="clear" w:color="auto" w:fill="D9D9D9" w:themeFill="background1" w:themeFillShade="D9"/>
          </w:tcPr>
          <w:p w14:paraId="4AF9BA10" w14:textId="72671A28" w:rsidR="005377E5" w:rsidRPr="005377E5" w:rsidRDefault="005377E5" w:rsidP="005377E5">
            <w:pPr>
              <w:rPr>
                <w:rStyle w:val="Strong"/>
              </w:rPr>
            </w:pPr>
            <w:r w:rsidRPr="005377E5">
              <w:rPr>
                <w:b/>
                <w:bCs/>
              </w:rPr>
              <w:t>Justification to indicate fish and fish products from IPI stocks may enter further chains of custody with an exemption to additional assessment requirements</w:t>
            </w:r>
          </w:p>
        </w:tc>
      </w:tr>
      <w:tr w:rsidR="004C29DF" w:rsidRPr="00963960" w14:paraId="0AA94BE7" w14:textId="77777777" w:rsidTr="008C6007">
        <w:tc>
          <w:tcPr>
            <w:tcW w:w="10485" w:type="dxa"/>
            <w:gridSpan w:val="2"/>
          </w:tcPr>
          <w:p w14:paraId="3734F0E8" w14:textId="77777777" w:rsidR="004C29DF" w:rsidRDefault="004C29DF" w:rsidP="008C6007"/>
          <w:p w14:paraId="0AC84323" w14:textId="7B6B8162" w:rsidR="00F94031" w:rsidRPr="00F94031" w:rsidRDefault="00F94031" w:rsidP="00F94031">
            <w:pPr>
              <w:pStyle w:val="ListParagraph"/>
              <w:numPr>
                <w:ilvl w:val="0"/>
                <w:numId w:val="24"/>
              </w:numPr>
              <w:rPr>
                <w:i/>
                <w:iCs/>
              </w:rPr>
            </w:pPr>
            <w:r w:rsidRPr="00F94031">
              <w:rPr>
                <w:i/>
                <w:iCs/>
              </w:rPr>
              <w:t xml:space="preserve">Include a detailed and substantiated justification of how the catches under consideration fulfil the IPI requirements (FCP </w:t>
            </w:r>
            <w:r w:rsidR="00D46C65">
              <w:rPr>
                <w:i/>
                <w:iCs/>
              </w:rPr>
              <w:t>v2.2 7.5.12.1.a</w:t>
            </w:r>
            <w:r w:rsidR="00D46C65">
              <w:rPr>
                <w:i/>
                <w:iCs/>
              </w:rPr>
              <w:t>,</w:t>
            </w:r>
            <w:r w:rsidR="00D46C65" w:rsidRPr="00F94031">
              <w:rPr>
                <w:i/>
                <w:iCs/>
              </w:rPr>
              <w:t xml:space="preserve"> </w:t>
            </w:r>
            <w:r w:rsidRPr="00F94031">
              <w:rPr>
                <w:i/>
                <w:iCs/>
              </w:rPr>
              <w:t>v2.3 7.5.1</w:t>
            </w:r>
            <w:r w:rsidR="0063233B">
              <w:rPr>
                <w:i/>
                <w:iCs/>
              </w:rPr>
              <w:t>3</w:t>
            </w:r>
            <w:r w:rsidRPr="00F94031">
              <w:rPr>
                <w:i/>
                <w:iCs/>
              </w:rPr>
              <w:t>.2.a.i</w:t>
            </w:r>
            <w:r w:rsidR="00295A09">
              <w:rPr>
                <w:i/>
                <w:iCs/>
              </w:rPr>
              <w:t>, v3.0 7.5.14.2.a.i</w:t>
            </w:r>
            <w:r w:rsidRPr="00F94031">
              <w:rPr>
                <w:i/>
                <w:iCs/>
              </w:rPr>
              <w:t>).</w:t>
            </w:r>
          </w:p>
          <w:p w14:paraId="050ACEB9" w14:textId="0512D1C3" w:rsidR="004C29DF" w:rsidRPr="00963960" w:rsidRDefault="00F94031" w:rsidP="00F94031">
            <w:pPr>
              <w:pStyle w:val="ListParagraph"/>
              <w:numPr>
                <w:ilvl w:val="0"/>
                <w:numId w:val="24"/>
              </w:numPr>
            </w:pPr>
            <w:r w:rsidRPr="00F94031">
              <w:rPr>
                <w:i/>
                <w:iCs/>
              </w:rPr>
              <w:t>Include a detailed and substantiated rationale showing that the catch proportion of IPI stocks is less than or equal to 2% and the total catch of IPI stock(s) by the fishery under assessment does not create a significant impact on the IPI stock(s) as a whole (FCP</w:t>
            </w:r>
            <w:r w:rsidR="00D46C65">
              <w:rPr>
                <w:i/>
                <w:iCs/>
              </w:rPr>
              <w:t xml:space="preserve"> </w:t>
            </w:r>
            <w:r w:rsidR="00D46C65">
              <w:rPr>
                <w:i/>
                <w:iCs/>
              </w:rPr>
              <w:t>v2.2 7.5.12.</w:t>
            </w:r>
            <w:r w:rsidR="00C416C9">
              <w:rPr>
                <w:i/>
                <w:iCs/>
              </w:rPr>
              <w:t>2</w:t>
            </w:r>
            <w:r w:rsidR="00D46C65">
              <w:rPr>
                <w:i/>
                <w:iCs/>
              </w:rPr>
              <w:t>.a</w:t>
            </w:r>
            <w:r w:rsidR="00C416C9">
              <w:rPr>
                <w:i/>
                <w:iCs/>
              </w:rPr>
              <w:t>.ii,</w:t>
            </w:r>
            <w:r w:rsidRPr="00F94031">
              <w:rPr>
                <w:i/>
                <w:iCs/>
              </w:rPr>
              <w:t xml:space="preserve"> v2.</w:t>
            </w:r>
            <w:r w:rsidR="00D729B8">
              <w:rPr>
                <w:i/>
                <w:iCs/>
              </w:rPr>
              <w:t>3</w:t>
            </w:r>
            <w:r w:rsidRPr="00F94031">
              <w:rPr>
                <w:i/>
                <w:iCs/>
              </w:rPr>
              <w:t xml:space="preserve"> 7.5.1</w:t>
            </w:r>
            <w:r w:rsidR="00D729B8">
              <w:rPr>
                <w:i/>
                <w:iCs/>
              </w:rPr>
              <w:t>3</w:t>
            </w:r>
            <w:r w:rsidRPr="00F94031">
              <w:rPr>
                <w:i/>
                <w:iCs/>
              </w:rPr>
              <w:t>.2.a.ii</w:t>
            </w:r>
            <w:r w:rsidR="00D729B8">
              <w:rPr>
                <w:i/>
                <w:iCs/>
              </w:rPr>
              <w:t>, FCP v3.0 7.5.14.2.a.ii</w:t>
            </w:r>
            <w:r w:rsidRPr="00F94031">
              <w:rPr>
                <w:i/>
                <w:iCs/>
              </w:rPr>
              <w:t>).</w:t>
            </w:r>
          </w:p>
        </w:tc>
      </w:tr>
      <w:tr w:rsidR="00A53109" w:rsidRPr="00A53109" w14:paraId="077BC9F6" w14:textId="77777777" w:rsidTr="008C6007">
        <w:tc>
          <w:tcPr>
            <w:tcW w:w="461" w:type="dxa"/>
            <w:shd w:val="clear" w:color="auto" w:fill="D9D9D9" w:themeFill="background1" w:themeFillShade="D9"/>
          </w:tcPr>
          <w:p w14:paraId="1BD19557" w14:textId="0CF013EF" w:rsidR="00A53109" w:rsidRPr="00A53109" w:rsidRDefault="00A53109" w:rsidP="00A53109">
            <w:pPr>
              <w:rPr>
                <w:rStyle w:val="Strong"/>
              </w:rPr>
            </w:pPr>
            <w:r w:rsidRPr="00A53109">
              <w:rPr>
                <w:b/>
                <w:bCs/>
              </w:rPr>
              <w:t>3a</w:t>
            </w:r>
          </w:p>
        </w:tc>
        <w:tc>
          <w:tcPr>
            <w:tcW w:w="10024" w:type="dxa"/>
            <w:shd w:val="clear" w:color="auto" w:fill="D9D9D9" w:themeFill="background1" w:themeFillShade="D9"/>
          </w:tcPr>
          <w:p w14:paraId="525AFBD4" w14:textId="414F4C3C" w:rsidR="00A53109" w:rsidRPr="00A53109" w:rsidRDefault="00A53109" w:rsidP="00A53109">
            <w:pPr>
              <w:rPr>
                <w:rStyle w:val="Strong"/>
              </w:rPr>
            </w:pPr>
            <w:r w:rsidRPr="00A53109">
              <w:rPr>
                <w:b/>
                <w:bCs/>
              </w:rPr>
              <w:t>Justification to indicate that the non-target salmon species is in compliance</w:t>
            </w:r>
          </w:p>
        </w:tc>
      </w:tr>
      <w:tr w:rsidR="004C29DF" w:rsidRPr="00963960" w14:paraId="786C0E55" w14:textId="77777777" w:rsidTr="008C6007">
        <w:tc>
          <w:tcPr>
            <w:tcW w:w="10485" w:type="dxa"/>
            <w:gridSpan w:val="2"/>
          </w:tcPr>
          <w:p w14:paraId="32FFA2F5" w14:textId="77777777" w:rsidR="004C29DF" w:rsidRPr="00A22130" w:rsidRDefault="004C29DF" w:rsidP="008C6007"/>
          <w:p w14:paraId="5C16286D" w14:textId="1B057FC6" w:rsidR="00DB4819" w:rsidRPr="00DB4819" w:rsidRDefault="00DB4819" w:rsidP="00DB4819">
            <w:pPr>
              <w:pStyle w:val="ListParagraph"/>
              <w:numPr>
                <w:ilvl w:val="0"/>
                <w:numId w:val="25"/>
              </w:numPr>
              <w:rPr>
                <w:i/>
                <w:iCs/>
              </w:rPr>
            </w:pPr>
            <w:r w:rsidRPr="00DB4819">
              <w:rPr>
                <w:i/>
                <w:iCs/>
              </w:rPr>
              <w:t>Include a detailed and substantiated rationale showing that the total catches from the IPI stock(s) do not exceed 5% by weight of the total combined catches of target and IPI stock(s) within the unit of assessment (</w:t>
            </w:r>
            <w:r w:rsidRPr="007C7816">
              <w:rPr>
                <w:i/>
                <w:iCs/>
              </w:rPr>
              <w:t>Fisheries Standard</w:t>
            </w:r>
            <w:r w:rsidRPr="00DB4819">
              <w:rPr>
                <w:i/>
                <w:iCs/>
              </w:rPr>
              <w:t xml:space="preserve"> v3.0 SC5.1.1.1.a)</w:t>
            </w:r>
            <w:r w:rsidR="00B54BD1">
              <w:rPr>
                <w:i/>
                <w:iCs/>
              </w:rPr>
              <w:t>.</w:t>
            </w:r>
          </w:p>
          <w:p w14:paraId="141B5A83" w14:textId="0AC7E0F2" w:rsidR="004C29DF" w:rsidRPr="00DB4819" w:rsidRDefault="00DB4819" w:rsidP="00DB4819">
            <w:pPr>
              <w:pStyle w:val="ListParagraph"/>
              <w:numPr>
                <w:ilvl w:val="0"/>
                <w:numId w:val="25"/>
              </w:numPr>
              <w:rPr>
                <w:i/>
                <w:iCs/>
              </w:rPr>
            </w:pPr>
            <w:r w:rsidRPr="00DB4819">
              <w:rPr>
                <w:i/>
                <w:iCs/>
              </w:rPr>
              <w:t>Include a detailed and substantiated rationale showing that the catches under consideration are successfully assessed under P2 in accordance with the requirements in FCP Annex PA (</w:t>
            </w:r>
            <w:r w:rsidRPr="007C7816">
              <w:rPr>
                <w:i/>
                <w:iCs/>
                <w:shd w:val="clear" w:color="auto" w:fill="FFFFFF" w:themeFill="background1"/>
              </w:rPr>
              <w:t>Fisheries Standard</w:t>
            </w:r>
            <w:r w:rsidRPr="00DB4819">
              <w:rPr>
                <w:i/>
                <w:iCs/>
              </w:rPr>
              <w:t xml:space="preserve"> v3.0 SC5.1.1.1.b)</w:t>
            </w:r>
            <w:r w:rsidR="00B54BD1">
              <w:rPr>
                <w:i/>
                <w:iCs/>
              </w:rPr>
              <w:t>.</w:t>
            </w:r>
          </w:p>
        </w:tc>
      </w:tr>
      <w:tr w:rsidR="009C1512" w:rsidRPr="00A53109" w14:paraId="0E05CCC8" w14:textId="77777777" w:rsidTr="008C6007">
        <w:tc>
          <w:tcPr>
            <w:tcW w:w="461" w:type="dxa"/>
            <w:shd w:val="clear" w:color="auto" w:fill="D9D9D9" w:themeFill="background1" w:themeFillShade="D9"/>
          </w:tcPr>
          <w:p w14:paraId="578858A3" w14:textId="4D88EAF2" w:rsidR="009C1512" w:rsidRPr="00A53109" w:rsidRDefault="009C1512" w:rsidP="008C6007">
            <w:pPr>
              <w:rPr>
                <w:rStyle w:val="Strong"/>
              </w:rPr>
            </w:pPr>
            <w:r w:rsidRPr="00A53109">
              <w:rPr>
                <w:b/>
                <w:bCs/>
              </w:rPr>
              <w:t>3</w:t>
            </w:r>
            <w:r>
              <w:rPr>
                <w:b/>
                <w:bCs/>
              </w:rPr>
              <w:t>b</w:t>
            </w:r>
          </w:p>
        </w:tc>
        <w:tc>
          <w:tcPr>
            <w:tcW w:w="10024" w:type="dxa"/>
            <w:shd w:val="clear" w:color="auto" w:fill="D9D9D9" w:themeFill="background1" w:themeFillShade="D9"/>
          </w:tcPr>
          <w:p w14:paraId="24BD522A" w14:textId="6724BA40" w:rsidR="009C1512" w:rsidRPr="00A53109" w:rsidRDefault="00015913" w:rsidP="008C6007">
            <w:pPr>
              <w:rPr>
                <w:rStyle w:val="Strong"/>
              </w:rPr>
            </w:pPr>
            <w:r w:rsidRPr="00015913">
              <w:rPr>
                <w:b/>
                <w:bCs/>
              </w:rPr>
              <w:t>Justification to indicate that the non-local salmon stocks are in compliance</w:t>
            </w:r>
          </w:p>
        </w:tc>
      </w:tr>
      <w:tr w:rsidR="009C1512" w:rsidRPr="00DB4819" w14:paraId="623E421B" w14:textId="77777777" w:rsidTr="008C6007">
        <w:tc>
          <w:tcPr>
            <w:tcW w:w="10485" w:type="dxa"/>
            <w:gridSpan w:val="2"/>
          </w:tcPr>
          <w:p w14:paraId="0F8DDEFD" w14:textId="77777777" w:rsidR="009C1512" w:rsidRPr="00A22130" w:rsidRDefault="009C1512" w:rsidP="008C6007"/>
          <w:p w14:paraId="7AC0E20E" w14:textId="6D3AD01E" w:rsidR="00B54BD1" w:rsidRPr="007C7816" w:rsidRDefault="00B54BD1" w:rsidP="007C7816">
            <w:pPr>
              <w:pStyle w:val="ListParagraph"/>
              <w:numPr>
                <w:ilvl w:val="0"/>
                <w:numId w:val="25"/>
              </w:numPr>
              <w:rPr>
                <w:i/>
                <w:iCs/>
              </w:rPr>
            </w:pPr>
            <w:r w:rsidRPr="00B54BD1">
              <w:rPr>
                <w:i/>
                <w:iCs/>
              </w:rPr>
              <w:t xml:space="preserve">Include a detailed and substantiated rationale showing that the total catches from the IPI stock(s) do not exceed 5% by weight of the total combined catches of target and IPI stock(s) within the </w:t>
            </w:r>
            <w:proofErr w:type="spellStart"/>
            <w:r w:rsidRPr="00B54BD1">
              <w:rPr>
                <w:i/>
                <w:iCs/>
              </w:rPr>
              <w:t>UoA</w:t>
            </w:r>
            <w:proofErr w:type="spellEnd"/>
            <w:r w:rsidRPr="00B54BD1">
              <w:rPr>
                <w:i/>
                <w:iCs/>
              </w:rPr>
              <w:t xml:space="preserve"> (</w:t>
            </w:r>
            <w:r w:rsidRPr="007C7816">
              <w:rPr>
                <w:i/>
                <w:iCs/>
              </w:rPr>
              <w:t>Fisheries Standard v3.0 SC5.1.1.2.a).</w:t>
            </w:r>
          </w:p>
          <w:p w14:paraId="54AD24FA" w14:textId="02B67695" w:rsidR="00B54BD1" w:rsidRPr="007C7816" w:rsidRDefault="00B54BD1" w:rsidP="007C7816">
            <w:pPr>
              <w:pStyle w:val="ListParagraph"/>
              <w:numPr>
                <w:ilvl w:val="0"/>
                <w:numId w:val="25"/>
              </w:numPr>
              <w:rPr>
                <w:i/>
                <w:iCs/>
              </w:rPr>
            </w:pPr>
            <w:r w:rsidRPr="007C7816">
              <w:rPr>
                <w:i/>
                <w:iCs/>
              </w:rPr>
              <w:t xml:space="preserve">Include a detailed and substantiated rationale showing that if these stocks fall outside biologically based limits, the fishery (Fisheries Standard v3.0 SC5.1.1.2.b): </w:t>
            </w:r>
          </w:p>
          <w:p w14:paraId="11706842" w14:textId="77777777" w:rsidR="00B54BD1" w:rsidRPr="00B54BD1" w:rsidRDefault="00B54BD1" w:rsidP="00B54BD1">
            <w:pPr>
              <w:pStyle w:val="ListParagraph"/>
              <w:numPr>
                <w:ilvl w:val="1"/>
                <w:numId w:val="25"/>
              </w:numPr>
              <w:rPr>
                <w:i/>
                <w:iCs/>
              </w:rPr>
            </w:pPr>
            <w:r w:rsidRPr="00B54BD1">
              <w:rPr>
                <w:i/>
                <w:iCs/>
              </w:rPr>
              <w:t xml:space="preserve">Does not catch a significant proportion of the total catch of the stock; </w:t>
            </w:r>
          </w:p>
          <w:p w14:paraId="205C72DC" w14:textId="77777777" w:rsidR="00B54BD1" w:rsidRPr="00B54BD1" w:rsidRDefault="00B54BD1" w:rsidP="00B54BD1">
            <w:pPr>
              <w:pStyle w:val="ListParagraph"/>
              <w:numPr>
                <w:ilvl w:val="1"/>
                <w:numId w:val="25"/>
              </w:numPr>
              <w:rPr>
                <w:i/>
                <w:iCs/>
              </w:rPr>
            </w:pPr>
            <w:r w:rsidRPr="00B54BD1">
              <w:rPr>
                <w:i/>
                <w:iCs/>
              </w:rPr>
              <w:t xml:space="preserve">Is highly likely not to significantly hinder its recovery, and </w:t>
            </w:r>
          </w:p>
          <w:p w14:paraId="1629F239" w14:textId="1F42D6CA" w:rsidR="009C1512" w:rsidRPr="00DB4819" w:rsidRDefault="00B54BD1" w:rsidP="00B54BD1">
            <w:pPr>
              <w:pStyle w:val="ListParagraph"/>
              <w:numPr>
                <w:ilvl w:val="1"/>
                <w:numId w:val="25"/>
              </w:numPr>
              <w:rPr>
                <w:i/>
                <w:iCs/>
              </w:rPr>
            </w:pPr>
            <w:r w:rsidRPr="00B54BD1">
              <w:rPr>
                <w:i/>
                <w:iCs/>
              </w:rPr>
              <w:t>Practical measures have been implemented to reduce impacts on the stock</w:t>
            </w:r>
            <w:r>
              <w:rPr>
                <w:i/>
                <w:iCs/>
              </w:rPr>
              <w:t>.</w:t>
            </w:r>
          </w:p>
        </w:tc>
      </w:tr>
    </w:tbl>
    <w:p w14:paraId="165D52C4" w14:textId="77777777" w:rsidR="00365249" w:rsidRDefault="00365249" w:rsidP="00365249"/>
    <w:p w14:paraId="1F710FCE" w14:textId="2D3954F8" w:rsidR="00365249" w:rsidRDefault="00365249" w:rsidP="00365249">
      <w:r>
        <w:tab/>
      </w:r>
    </w:p>
    <w:p w14:paraId="4F780769" w14:textId="77777777" w:rsidR="00365249" w:rsidRDefault="00365249" w:rsidP="00365249">
      <w:r>
        <w:tab/>
      </w:r>
      <w:r>
        <w:tab/>
      </w:r>
      <w:r>
        <w:tab/>
      </w:r>
      <w:r>
        <w:tab/>
      </w:r>
    </w:p>
    <w:p w14:paraId="4AC11C1D" w14:textId="77777777" w:rsidR="00365249" w:rsidRDefault="00365249" w:rsidP="00365249">
      <w:r>
        <w:tab/>
      </w:r>
      <w:r>
        <w:tab/>
      </w:r>
      <w:r>
        <w:tab/>
      </w:r>
      <w:r>
        <w:tab/>
      </w:r>
    </w:p>
    <w:p w14:paraId="6D605D9F" w14:textId="77777777" w:rsidR="00365249" w:rsidRDefault="00365249" w:rsidP="00365249"/>
    <w:p w14:paraId="24F49BD8" w14:textId="77777777" w:rsidR="00365249" w:rsidRDefault="00365249" w:rsidP="00365249">
      <w:r>
        <w:t xml:space="preserve"> </w:t>
      </w:r>
    </w:p>
    <w:p w14:paraId="70307CEA" w14:textId="77777777" w:rsidR="00BE76D5" w:rsidRDefault="00BE76D5">
      <w:r>
        <w:br w:type="page"/>
      </w:r>
    </w:p>
    <w:p w14:paraId="570B6357" w14:textId="4A96C37D" w:rsidR="00365249" w:rsidRDefault="00365249" w:rsidP="00E6289A">
      <w:pPr>
        <w:pStyle w:val="Heading1"/>
      </w:pPr>
      <w:r>
        <w:lastRenderedPageBreak/>
        <w:t>Template information and copyright</w:t>
      </w:r>
    </w:p>
    <w:p w14:paraId="6AEEF172" w14:textId="77777777" w:rsidR="00365249" w:rsidRDefault="00365249" w:rsidP="00365249"/>
    <w:p w14:paraId="6BB19161" w14:textId="6A63FCBE" w:rsidR="00365249" w:rsidRDefault="00365249" w:rsidP="00365249">
      <w:r>
        <w:t>The Marine Stewardship Council’s ‘</w:t>
      </w:r>
      <w:r w:rsidR="00BF35C9" w:rsidRPr="00BF35C9">
        <w:t>MSC IPI Announcement Template v1.</w:t>
      </w:r>
      <w:r w:rsidR="00776604">
        <w:t>2</w:t>
      </w:r>
      <w:r w:rsidRPr="00A03F46">
        <w:t>’</w:t>
      </w:r>
      <w:r>
        <w:t xml:space="preserve"> and its content is copyright of “Marine Stewardship Council” - © “Marine Stewardship Council” 202</w:t>
      </w:r>
      <w:r w:rsidR="00711BA1">
        <w:t>2</w:t>
      </w:r>
      <w:r>
        <w:t>. All rights reserved.</w:t>
      </w:r>
    </w:p>
    <w:p w14:paraId="162336E5" w14:textId="77777777" w:rsidR="00365249" w:rsidRDefault="00365249" w:rsidP="00365249"/>
    <w:p w14:paraId="5FFD9E05" w14:textId="5236BECF" w:rsidR="00365249" w:rsidRPr="004A0F48" w:rsidRDefault="00365249" w:rsidP="004A0F48">
      <w:pPr>
        <w:rPr>
          <w:i/>
          <w:iCs/>
        </w:rPr>
      </w:pPr>
      <w:r w:rsidRPr="004A0F48">
        <w:rPr>
          <w:i/>
          <w:iCs/>
        </w:rPr>
        <w:t xml:space="preserve">The CAB shall delete Table </w:t>
      </w:r>
      <w:r w:rsidR="00F81FE8">
        <w:rPr>
          <w:i/>
          <w:iCs/>
        </w:rPr>
        <w:t>2</w:t>
      </w:r>
      <w:r w:rsidRPr="004A0F48">
        <w:rPr>
          <w:i/>
          <w:iCs/>
        </w:rPr>
        <w:t>:</w:t>
      </w:r>
    </w:p>
    <w:p w14:paraId="1FA413D0" w14:textId="77777777" w:rsidR="00365249" w:rsidRDefault="00365249" w:rsidP="00365249"/>
    <w:p w14:paraId="7498DEE9" w14:textId="58EC4EEB" w:rsidR="00365249" w:rsidRDefault="00F04458" w:rsidP="00F04458">
      <w:pPr>
        <w:pStyle w:val="Caption"/>
      </w:pPr>
      <w:r>
        <w:t xml:space="preserve">Table </w:t>
      </w:r>
      <w:fldSimple w:instr=" SEQ Table \* ARABIC ">
        <w:r w:rsidR="001978C8">
          <w:rPr>
            <w:noProof/>
          </w:rPr>
          <w:t>2</w:t>
        </w:r>
      </w:fldSimple>
      <w:r>
        <w:t xml:space="preserve">: </w:t>
      </w:r>
      <w:r w:rsidRPr="00F04458">
        <w:t>Template version control</w:t>
      </w:r>
    </w:p>
    <w:tbl>
      <w:tblPr>
        <w:tblStyle w:val="TableGrid"/>
        <w:tblW w:w="10485" w:type="dxa"/>
        <w:tblCellMar>
          <w:top w:w="57" w:type="dxa"/>
          <w:bottom w:w="57" w:type="dxa"/>
        </w:tblCellMar>
        <w:tblLook w:val="04A0" w:firstRow="1" w:lastRow="0" w:firstColumn="1" w:lastColumn="0" w:noHBand="0" w:noVBand="1"/>
      </w:tblPr>
      <w:tblGrid>
        <w:gridCol w:w="1129"/>
        <w:gridCol w:w="2410"/>
        <w:gridCol w:w="6946"/>
      </w:tblGrid>
      <w:tr w:rsidR="002A298A" w14:paraId="478762D8" w14:textId="77777777" w:rsidTr="008005B0">
        <w:tc>
          <w:tcPr>
            <w:tcW w:w="1129" w:type="dxa"/>
            <w:shd w:val="clear" w:color="auto" w:fill="D9D9D9" w:themeFill="background1" w:themeFillShade="D9"/>
          </w:tcPr>
          <w:p w14:paraId="232A3E68" w14:textId="2929326D" w:rsidR="002A298A" w:rsidRPr="008115E0" w:rsidRDefault="00985D3E" w:rsidP="005945A6">
            <w:pPr>
              <w:rPr>
                <w:rStyle w:val="Strong"/>
              </w:rPr>
            </w:pPr>
            <w:r>
              <w:rPr>
                <w:rStyle w:val="Strong"/>
              </w:rPr>
              <w:t>Version</w:t>
            </w:r>
          </w:p>
        </w:tc>
        <w:tc>
          <w:tcPr>
            <w:tcW w:w="2410" w:type="dxa"/>
            <w:shd w:val="clear" w:color="auto" w:fill="D9D9D9" w:themeFill="background1" w:themeFillShade="D9"/>
          </w:tcPr>
          <w:p w14:paraId="26A8CF1C" w14:textId="7D9F98D0" w:rsidR="002A298A" w:rsidRPr="008115E0" w:rsidRDefault="00A71514" w:rsidP="005945A6">
            <w:pPr>
              <w:rPr>
                <w:rStyle w:val="Strong"/>
              </w:rPr>
            </w:pPr>
            <w:r w:rsidRPr="00A71514">
              <w:rPr>
                <w:rStyle w:val="Strong"/>
              </w:rPr>
              <w:t>Date of publication</w:t>
            </w:r>
          </w:p>
        </w:tc>
        <w:tc>
          <w:tcPr>
            <w:tcW w:w="6946" w:type="dxa"/>
            <w:shd w:val="clear" w:color="auto" w:fill="D9D9D9" w:themeFill="background1" w:themeFillShade="D9"/>
          </w:tcPr>
          <w:p w14:paraId="5E32377B" w14:textId="4C2BFC6B" w:rsidR="002A298A" w:rsidRPr="008115E0" w:rsidRDefault="007E2B3B" w:rsidP="005945A6">
            <w:pPr>
              <w:rPr>
                <w:rStyle w:val="Strong"/>
              </w:rPr>
            </w:pPr>
            <w:r w:rsidRPr="007E2B3B">
              <w:rPr>
                <w:rStyle w:val="Strong"/>
              </w:rPr>
              <w:t>Description of amendment</w:t>
            </w:r>
          </w:p>
        </w:tc>
      </w:tr>
      <w:tr w:rsidR="000565F3" w14:paraId="636540E5" w14:textId="77777777" w:rsidTr="008005B0">
        <w:tc>
          <w:tcPr>
            <w:tcW w:w="1129" w:type="dxa"/>
          </w:tcPr>
          <w:p w14:paraId="2FE7C74B" w14:textId="22265395" w:rsidR="000565F3" w:rsidRDefault="000565F3" w:rsidP="000565F3">
            <w:r w:rsidRPr="006C58DB">
              <w:t>1.0</w:t>
            </w:r>
          </w:p>
        </w:tc>
        <w:tc>
          <w:tcPr>
            <w:tcW w:w="2410" w:type="dxa"/>
          </w:tcPr>
          <w:p w14:paraId="69D56561" w14:textId="33613067" w:rsidR="000565F3" w:rsidRDefault="000565F3" w:rsidP="000565F3">
            <w:r w:rsidRPr="006C58DB">
              <w:t>17 December 2018</w:t>
            </w:r>
          </w:p>
        </w:tc>
        <w:tc>
          <w:tcPr>
            <w:tcW w:w="6946" w:type="dxa"/>
          </w:tcPr>
          <w:p w14:paraId="0D391EF4" w14:textId="328ABEE1" w:rsidR="000565F3" w:rsidRDefault="000565F3" w:rsidP="000565F3">
            <w:r w:rsidRPr="006C58DB">
              <w:t>Release alongside Fisheries Certification Process v2.1</w:t>
            </w:r>
          </w:p>
        </w:tc>
      </w:tr>
      <w:tr w:rsidR="000565F3" w14:paraId="2EB96C22" w14:textId="77777777" w:rsidTr="008005B0">
        <w:tc>
          <w:tcPr>
            <w:tcW w:w="1129" w:type="dxa"/>
          </w:tcPr>
          <w:p w14:paraId="201FCF40" w14:textId="0FC980F4" w:rsidR="000565F3" w:rsidRPr="00146A4D" w:rsidRDefault="000565F3" w:rsidP="000565F3">
            <w:r w:rsidRPr="006C58DB">
              <w:t>1.01</w:t>
            </w:r>
          </w:p>
        </w:tc>
        <w:tc>
          <w:tcPr>
            <w:tcW w:w="2410" w:type="dxa"/>
          </w:tcPr>
          <w:p w14:paraId="7F5E8A03" w14:textId="4064C17F" w:rsidR="000565F3" w:rsidRPr="005D3CFC" w:rsidRDefault="000565F3" w:rsidP="000565F3">
            <w:pPr>
              <w:rPr>
                <w:highlight w:val="yellow"/>
              </w:rPr>
            </w:pPr>
            <w:r w:rsidRPr="006C58DB">
              <w:t>28 March 2019</w:t>
            </w:r>
          </w:p>
        </w:tc>
        <w:tc>
          <w:tcPr>
            <w:tcW w:w="6946" w:type="dxa"/>
          </w:tcPr>
          <w:p w14:paraId="68E18508" w14:textId="745FE918" w:rsidR="000565F3" w:rsidRPr="00146A4D" w:rsidRDefault="000565F3" w:rsidP="000565F3">
            <w:r w:rsidRPr="006C58DB">
              <w:t>Minor document change for usability</w:t>
            </w:r>
          </w:p>
        </w:tc>
      </w:tr>
      <w:tr w:rsidR="000565F3" w14:paraId="25548050" w14:textId="77777777" w:rsidTr="008005B0">
        <w:tc>
          <w:tcPr>
            <w:tcW w:w="1129" w:type="dxa"/>
          </w:tcPr>
          <w:p w14:paraId="5263377A" w14:textId="1E7E3442" w:rsidR="000565F3" w:rsidRPr="00146A4D" w:rsidRDefault="000565F3" w:rsidP="000565F3">
            <w:r w:rsidRPr="006C58DB">
              <w:t>1.1</w:t>
            </w:r>
          </w:p>
        </w:tc>
        <w:tc>
          <w:tcPr>
            <w:tcW w:w="2410" w:type="dxa"/>
          </w:tcPr>
          <w:p w14:paraId="435430DE" w14:textId="6AA7893D" w:rsidR="000565F3" w:rsidRPr="005D3CFC" w:rsidRDefault="000565F3" w:rsidP="000565F3">
            <w:pPr>
              <w:rPr>
                <w:highlight w:val="yellow"/>
              </w:rPr>
            </w:pPr>
            <w:r w:rsidRPr="006C58DB">
              <w:t>25 March 2020</w:t>
            </w:r>
          </w:p>
        </w:tc>
        <w:tc>
          <w:tcPr>
            <w:tcW w:w="6946" w:type="dxa"/>
          </w:tcPr>
          <w:p w14:paraId="0FE37D8F" w14:textId="3848CB04" w:rsidR="000565F3" w:rsidRPr="00146A4D" w:rsidRDefault="000565F3" w:rsidP="000565F3">
            <w:r w:rsidRPr="006C58DB">
              <w:t>Release alongside Fisheries Certification Process v2.2</w:t>
            </w:r>
          </w:p>
        </w:tc>
      </w:tr>
      <w:tr w:rsidR="000565F3" w14:paraId="16D2FABB" w14:textId="77777777" w:rsidTr="008005B0">
        <w:tc>
          <w:tcPr>
            <w:tcW w:w="1129" w:type="dxa"/>
          </w:tcPr>
          <w:p w14:paraId="5B5999DF" w14:textId="5BA13AD5" w:rsidR="000565F3" w:rsidRPr="00146A4D" w:rsidRDefault="000565F3" w:rsidP="000565F3">
            <w:r w:rsidRPr="006C58DB">
              <w:t>1.2</w:t>
            </w:r>
          </w:p>
        </w:tc>
        <w:tc>
          <w:tcPr>
            <w:tcW w:w="2410" w:type="dxa"/>
          </w:tcPr>
          <w:p w14:paraId="1770DF8C" w14:textId="035221E1" w:rsidR="000565F3" w:rsidRPr="005D3CFC" w:rsidRDefault="008300A1" w:rsidP="000565F3">
            <w:pPr>
              <w:rPr>
                <w:highlight w:val="yellow"/>
              </w:rPr>
            </w:pPr>
            <w:r w:rsidRPr="008300A1">
              <w:t>26 October 2022</w:t>
            </w:r>
          </w:p>
        </w:tc>
        <w:tc>
          <w:tcPr>
            <w:tcW w:w="6946" w:type="dxa"/>
          </w:tcPr>
          <w:p w14:paraId="603CC809" w14:textId="56091BCE" w:rsidR="000565F3" w:rsidRPr="00146A4D" w:rsidRDefault="00434A1D" w:rsidP="000565F3">
            <w:r>
              <w:t>R</w:t>
            </w:r>
            <w:r w:rsidR="00DB01A5">
              <w:t xml:space="preserve">elease alongside </w:t>
            </w:r>
            <w:r w:rsidR="00DB01A5" w:rsidRPr="006C58DB">
              <w:t>Fisheries Certification Process</w:t>
            </w:r>
            <w:r w:rsidR="00DB01A5">
              <w:t xml:space="preserve"> v2.</w:t>
            </w:r>
            <w:r>
              <w:t>3</w:t>
            </w:r>
            <w:r w:rsidR="00DB01A5">
              <w:t xml:space="preserve"> &amp; 3.0</w:t>
            </w:r>
            <w:r>
              <w:t>; d</w:t>
            </w:r>
            <w:r w:rsidRPr="006C58DB">
              <w:t>ocument change to include salmon IPI</w:t>
            </w:r>
            <w:r>
              <w:t xml:space="preserve"> </w:t>
            </w:r>
          </w:p>
        </w:tc>
      </w:tr>
    </w:tbl>
    <w:p w14:paraId="3DD116A7" w14:textId="77777777" w:rsidR="002A298A" w:rsidRDefault="002A298A" w:rsidP="00365249"/>
    <w:p w14:paraId="3754A6D0" w14:textId="4D1AEC34" w:rsidR="00365249" w:rsidRDefault="00365249" w:rsidP="00365249">
      <w:r>
        <w:t>A controlled document list of MSC program documents is available on the MSC website (</w:t>
      </w:r>
      <w:hyperlink r:id="rId12" w:history="1">
        <w:r w:rsidRPr="002E2463">
          <w:rPr>
            <w:rStyle w:val="Hyperlink"/>
          </w:rPr>
          <w:t>https://www.msc.org/for-business/certification-bodies/supporting-documents</w:t>
        </w:r>
      </w:hyperlink>
      <w:r>
        <w:t>).</w:t>
      </w:r>
    </w:p>
    <w:p w14:paraId="459056D9" w14:textId="77777777" w:rsidR="00365249" w:rsidRDefault="00365249" w:rsidP="00365249"/>
    <w:p w14:paraId="4D60A224" w14:textId="77777777" w:rsidR="00365249" w:rsidRDefault="00365249" w:rsidP="00365249">
      <w:r>
        <w:t>Marine Stewardship Council</w:t>
      </w:r>
    </w:p>
    <w:p w14:paraId="0F391AB8" w14:textId="77777777" w:rsidR="00365249" w:rsidRDefault="00365249" w:rsidP="00365249">
      <w:r>
        <w:t>Marine House</w:t>
      </w:r>
    </w:p>
    <w:p w14:paraId="1CC2BDF1" w14:textId="77777777" w:rsidR="00365249" w:rsidRDefault="00365249" w:rsidP="00365249">
      <w:r>
        <w:t>1 Snow Hill</w:t>
      </w:r>
    </w:p>
    <w:p w14:paraId="75FD89C2" w14:textId="77777777" w:rsidR="00365249" w:rsidRDefault="00365249" w:rsidP="00365249">
      <w:r>
        <w:t>London EC1A 2DH</w:t>
      </w:r>
    </w:p>
    <w:p w14:paraId="1A9AD50F" w14:textId="77777777" w:rsidR="00365249" w:rsidRDefault="00365249" w:rsidP="00365249">
      <w:r>
        <w:t>United Kingdom</w:t>
      </w:r>
    </w:p>
    <w:p w14:paraId="40EC6469" w14:textId="77777777" w:rsidR="00365249" w:rsidRDefault="00365249" w:rsidP="00365249"/>
    <w:p w14:paraId="47D4E051" w14:textId="77777777" w:rsidR="00365249" w:rsidRDefault="00365249" w:rsidP="00365249">
      <w:r>
        <w:t>Phone: + 44 (0) 20 7246 8900</w:t>
      </w:r>
    </w:p>
    <w:p w14:paraId="4CAE6AE7" w14:textId="77777777" w:rsidR="00365249" w:rsidRDefault="00365249" w:rsidP="00365249">
      <w:r>
        <w:t>Fax: + 44 (0) 20 7246 8901</w:t>
      </w:r>
    </w:p>
    <w:p w14:paraId="3AEC2A20" w14:textId="07B3B8C4" w:rsidR="00B35E66" w:rsidRPr="0008227F" w:rsidRDefault="00365249" w:rsidP="00365249">
      <w:r>
        <w:t xml:space="preserve">Email: </w:t>
      </w:r>
      <w:hyperlink r:id="rId13" w:history="1">
        <w:r w:rsidR="00217F35">
          <w:rPr>
            <w:rStyle w:val="Hyperlink"/>
          </w:rPr>
          <w:t>standards@msc.org</w:t>
        </w:r>
      </w:hyperlink>
    </w:p>
    <w:sectPr w:rsidR="00B35E66" w:rsidRPr="0008227F" w:rsidSect="008005B0">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50FA" w14:textId="77777777" w:rsidR="00BA7E3D" w:rsidRDefault="00BA7E3D" w:rsidP="00FC1957">
      <w:pPr>
        <w:spacing w:after="0" w:line="240" w:lineRule="auto"/>
      </w:pPr>
      <w:r>
        <w:separator/>
      </w:r>
    </w:p>
  </w:endnote>
  <w:endnote w:type="continuationSeparator" w:id="0">
    <w:p w14:paraId="1A610321" w14:textId="77777777" w:rsidR="00BA7E3D" w:rsidRDefault="00BA7E3D" w:rsidP="00FC1957">
      <w:pPr>
        <w:spacing w:after="0" w:line="240" w:lineRule="auto"/>
      </w:pPr>
      <w:r>
        <w:continuationSeparator/>
      </w:r>
    </w:p>
  </w:endnote>
  <w:endnote w:type="continuationNotice" w:id="1">
    <w:p w14:paraId="2284861A" w14:textId="77777777" w:rsidR="00BA7E3D" w:rsidRDefault="00BA7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862436"/>
      <w:docPartObj>
        <w:docPartGallery w:val="Page Numbers (Bottom of Page)"/>
        <w:docPartUnique/>
      </w:docPartObj>
    </w:sdtPr>
    <w:sdtEndPr>
      <w:rPr>
        <w:noProof/>
      </w:rPr>
    </w:sdtEndPr>
    <w:sdtContent>
      <w:p w14:paraId="4491DB2A" w14:textId="31AE8568" w:rsidR="00FC1957" w:rsidRDefault="00FC1957" w:rsidP="00FC19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0CB7" w14:textId="77777777" w:rsidR="00BA7E3D" w:rsidRDefault="00BA7E3D" w:rsidP="00FC1957">
      <w:pPr>
        <w:spacing w:after="0" w:line="240" w:lineRule="auto"/>
      </w:pPr>
      <w:r>
        <w:separator/>
      </w:r>
    </w:p>
  </w:footnote>
  <w:footnote w:type="continuationSeparator" w:id="0">
    <w:p w14:paraId="544FA489" w14:textId="77777777" w:rsidR="00BA7E3D" w:rsidRDefault="00BA7E3D" w:rsidP="00FC1957">
      <w:pPr>
        <w:spacing w:after="0" w:line="240" w:lineRule="auto"/>
      </w:pPr>
      <w:r>
        <w:continuationSeparator/>
      </w:r>
    </w:p>
  </w:footnote>
  <w:footnote w:type="continuationNotice" w:id="1">
    <w:p w14:paraId="45CA6D65" w14:textId="77777777" w:rsidR="00BA7E3D" w:rsidRDefault="00BA7E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5E6"/>
    <w:multiLevelType w:val="hybridMultilevel"/>
    <w:tmpl w:val="2DFA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8264B"/>
    <w:multiLevelType w:val="hybridMultilevel"/>
    <w:tmpl w:val="6798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41D52"/>
    <w:multiLevelType w:val="hybridMultilevel"/>
    <w:tmpl w:val="1C14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C6FB2"/>
    <w:multiLevelType w:val="hybridMultilevel"/>
    <w:tmpl w:val="A1C4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95CD8"/>
    <w:multiLevelType w:val="hybridMultilevel"/>
    <w:tmpl w:val="4DDA3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75AFA"/>
    <w:multiLevelType w:val="hybridMultilevel"/>
    <w:tmpl w:val="E75A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E3862"/>
    <w:multiLevelType w:val="hybridMultilevel"/>
    <w:tmpl w:val="9660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D6EE5"/>
    <w:multiLevelType w:val="hybridMultilevel"/>
    <w:tmpl w:val="2D44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001F2"/>
    <w:multiLevelType w:val="hybridMultilevel"/>
    <w:tmpl w:val="973C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63DB1"/>
    <w:multiLevelType w:val="hybridMultilevel"/>
    <w:tmpl w:val="CCFA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55C82"/>
    <w:multiLevelType w:val="hybridMultilevel"/>
    <w:tmpl w:val="74B4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E0FF4"/>
    <w:multiLevelType w:val="hybridMultilevel"/>
    <w:tmpl w:val="6EF4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C1AB7"/>
    <w:multiLevelType w:val="hybridMultilevel"/>
    <w:tmpl w:val="19FA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320A2"/>
    <w:multiLevelType w:val="hybridMultilevel"/>
    <w:tmpl w:val="5B9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770AE"/>
    <w:multiLevelType w:val="hybridMultilevel"/>
    <w:tmpl w:val="398C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61F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CD546E"/>
    <w:multiLevelType w:val="hybridMultilevel"/>
    <w:tmpl w:val="6B18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5C39EA"/>
    <w:multiLevelType w:val="hybridMultilevel"/>
    <w:tmpl w:val="2298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210C4"/>
    <w:multiLevelType w:val="hybridMultilevel"/>
    <w:tmpl w:val="C204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9855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6C7226"/>
    <w:multiLevelType w:val="hybridMultilevel"/>
    <w:tmpl w:val="CE02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C6A64"/>
    <w:multiLevelType w:val="hybridMultilevel"/>
    <w:tmpl w:val="8B10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17B51"/>
    <w:multiLevelType w:val="hybridMultilevel"/>
    <w:tmpl w:val="5A98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29136E"/>
    <w:multiLevelType w:val="hybridMultilevel"/>
    <w:tmpl w:val="328C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872694">
    <w:abstractNumId w:val="15"/>
  </w:num>
  <w:num w:numId="2" w16cid:durableId="1170366204">
    <w:abstractNumId w:val="7"/>
  </w:num>
  <w:num w:numId="3" w16cid:durableId="939143862">
    <w:abstractNumId w:val="18"/>
  </w:num>
  <w:num w:numId="4" w16cid:durableId="1114598707">
    <w:abstractNumId w:val="1"/>
  </w:num>
  <w:num w:numId="5" w16cid:durableId="1069422129">
    <w:abstractNumId w:val="12"/>
  </w:num>
  <w:num w:numId="6" w16cid:durableId="1305889041">
    <w:abstractNumId w:val="8"/>
  </w:num>
  <w:num w:numId="7" w16cid:durableId="353459858">
    <w:abstractNumId w:val="3"/>
  </w:num>
  <w:num w:numId="8" w16cid:durableId="1319113641">
    <w:abstractNumId w:val="14"/>
  </w:num>
  <w:num w:numId="9" w16cid:durableId="1497454407">
    <w:abstractNumId w:val="2"/>
  </w:num>
  <w:num w:numId="10" w16cid:durableId="150413285">
    <w:abstractNumId w:val="23"/>
  </w:num>
  <w:num w:numId="11" w16cid:durableId="1704164034">
    <w:abstractNumId w:val="22"/>
  </w:num>
  <w:num w:numId="12" w16cid:durableId="278951030">
    <w:abstractNumId w:val="10"/>
  </w:num>
  <w:num w:numId="13" w16cid:durableId="816918403">
    <w:abstractNumId w:val="13"/>
  </w:num>
  <w:num w:numId="14" w16cid:durableId="623389726">
    <w:abstractNumId w:val="0"/>
  </w:num>
  <w:num w:numId="15" w16cid:durableId="1135682121">
    <w:abstractNumId w:val="19"/>
  </w:num>
  <w:num w:numId="16" w16cid:durableId="1635910816">
    <w:abstractNumId w:val="21"/>
  </w:num>
  <w:num w:numId="17" w16cid:durableId="1425148017">
    <w:abstractNumId w:val="5"/>
  </w:num>
  <w:num w:numId="18" w16cid:durableId="1372070577">
    <w:abstractNumId w:val="20"/>
  </w:num>
  <w:num w:numId="19" w16cid:durableId="2100324909">
    <w:abstractNumId w:val="16"/>
  </w:num>
  <w:num w:numId="20" w16cid:durableId="919488492">
    <w:abstractNumId w:val="9"/>
  </w:num>
  <w:num w:numId="21" w16cid:durableId="991909182">
    <w:abstractNumId w:val="17"/>
  </w:num>
  <w:num w:numId="22" w16cid:durableId="2098675673">
    <w:abstractNumId w:val="6"/>
  </w:num>
  <w:num w:numId="23" w16cid:durableId="878594508">
    <w:abstractNumId w:val="11"/>
  </w:num>
  <w:num w:numId="24" w16cid:durableId="1040739954">
    <w:abstractNumId w:val="24"/>
  </w:num>
  <w:num w:numId="25" w16cid:durableId="1122653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17"/>
    <w:rsid w:val="000040DE"/>
    <w:rsid w:val="000153EB"/>
    <w:rsid w:val="00015913"/>
    <w:rsid w:val="000565F3"/>
    <w:rsid w:val="000570AB"/>
    <w:rsid w:val="000702AB"/>
    <w:rsid w:val="0007630F"/>
    <w:rsid w:val="0008227F"/>
    <w:rsid w:val="000917C9"/>
    <w:rsid w:val="00097023"/>
    <w:rsid w:val="000A4BCD"/>
    <w:rsid w:val="000C5B17"/>
    <w:rsid w:val="000D6620"/>
    <w:rsid w:val="000D7F21"/>
    <w:rsid w:val="000F3665"/>
    <w:rsid w:val="0010434A"/>
    <w:rsid w:val="0010745B"/>
    <w:rsid w:val="001137AD"/>
    <w:rsid w:val="0012244A"/>
    <w:rsid w:val="00123A0B"/>
    <w:rsid w:val="00135A9E"/>
    <w:rsid w:val="00144B0F"/>
    <w:rsid w:val="0015063C"/>
    <w:rsid w:val="0015678E"/>
    <w:rsid w:val="00165892"/>
    <w:rsid w:val="00192B5B"/>
    <w:rsid w:val="001978C8"/>
    <w:rsid w:val="001E31CB"/>
    <w:rsid w:val="001E380E"/>
    <w:rsid w:val="001F2022"/>
    <w:rsid w:val="001F64CA"/>
    <w:rsid w:val="00217F35"/>
    <w:rsid w:val="002376FD"/>
    <w:rsid w:val="00263632"/>
    <w:rsid w:val="002639E4"/>
    <w:rsid w:val="00282167"/>
    <w:rsid w:val="002871B9"/>
    <w:rsid w:val="002906D9"/>
    <w:rsid w:val="0029096D"/>
    <w:rsid w:val="00294823"/>
    <w:rsid w:val="00295A09"/>
    <w:rsid w:val="002A298A"/>
    <w:rsid w:val="002A2A3D"/>
    <w:rsid w:val="002B73C1"/>
    <w:rsid w:val="002D10B4"/>
    <w:rsid w:val="002D5769"/>
    <w:rsid w:val="002E1842"/>
    <w:rsid w:val="002E2463"/>
    <w:rsid w:val="002E3978"/>
    <w:rsid w:val="002E77E5"/>
    <w:rsid w:val="0030116D"/>
    <w:rsid w:val="00312072"/>
    <w:rsid w:val="00316DA8"/>
    <w:rsid w:val="003235E7"/>
    <w:rsid w:val="0032710B"/>
    <w:rsid w:val="00333A1A"/>
    <w:rsid w:val="00334F5C"/>
    <w:rsid w:val="00337E94"/>
    <w:rsid w:val="003431F6"/>
    <w:rsid w:val="003602AD"/>
    <w:rsid w:val="00365249"/>
    <w:rsid w:val="00367EE4"/>
    <w:rsid w:val="00374398"/>
    <w:rsid w:val="003D0C49"/>
    <w:rsid w:val="003D64DC"/>
    <w:rsid w:val="003E1425"/>
    <w:rsid w:val="004017D5"/>
    <w:rsid w:val="00403847"/>
    <w:rsid w:val="00405FF2"/>
    <w:rsid w:val="004079C5"/>
    <w:rsid w:val="0041296A"/>
    <w:rsid w:val="00413405"/>
    <w:rsid w:val="00413CAA"/>
    <w:rsid w:val="004142FF"/>
    <w:rsid w:val="00415649"/>
    <w:rsid w:val="00416BBB"/>
    <w:rsid w:val="004233B4"/>
    <w:rsid w:val="004348E9"/>
    <w:rsid w:val="00434A1D"/>
    <w:rsid w:val="00462A33"/>
    <w:rsid w:val="00464079"/>
    <w:rsid w:val="00464E43"/>
    <w:rsid w:val="0046643F"/>
    <w:rsid w:val="00467C99"/>
    <w:rsid w:val="00495382"/>
    <w:rsid w:val="004A0E0D"/>
    <w:rsid w:val="004A0F48"/>
    <w:rsid w:val="004A3BFF"/>
    <w:rsid w:val="004A4162"/>
    <w:rsid w:val="004A50BB"/>
    <w:rsid w:val="004C29DF"/>
    <w:rsid w:val="004D6E9D"/>
    <w:rsid w:val="00512079"/>
    <w:rsid w:val="005377E5"/>
    <w:rsid w:val="00547582"/>
    <w:rsid w:val="00561813"/>
    <w:rsid w:val="00572AAF"/>
    <w:rsid w:val="005810C0"/>
    <w:rsid w:val="0058621E"/>
    <w:rsid w:val="005938E9"/>
    <w:rsid w:val="005A08A3"/>
    <w:rsid w:val="005A7CDC"/>
    <w:rsid w:val="005B0107"/>
    <w:rsid w:val="005B0E8D"/>
    <w:rsid w:val="005B6F7A"/>
    <w:rsid w:val="005C2A61"/>
    <w:rsid w:val="005D314C"/>
    <w:rsid w:val="005D3A83"/>
    <w:rsid w:val="005D3CFC"/>
    <w:rsid w:val="005E2A9D"/>
    <w:rsid w:val="00600A3C"/>
    <w:rsid w:val="00612258"/>
    <w:rsid w:val="00612C53"/>
    <w:rsid w:val="00616EBC"/>
    <w:rsid w:val="00620F13"/>
    <w:rsid w:val="00622C9D"/>
    <w:rsid w:val="00630211"/>
    <w:rsid w:val="0063233B"/>
    <w:rsid w:val="0064028B"/>
    <w:rsid w:val="00645B2E"/>
    <w:rsid w:val="00646EDA"/>
    <w:rsid w:val="00647BED"/>
    <w:rsid w:val="00656657"/>
    <w:rsid w:val="006604E9"/>
    <w:rsid w:val="0066270D"/>
    <w:rsid w:val="00681774"/>
    <w:rsid w:val="00683B40"/>
    <w:rsid w:val="00690020"/>
    <w:rsid w:val="0069543C"/>
    <w:rsid w:val="00696A9F"/>
    <w:rsid w:val="006A11BD"/>
    <w:rsid w:val="006B06D8"/>
    <w:rsid w:val="006C44F6"/>
    <w:rsid w:val="006D09BB"/>
    <w:rsid w:val="006D0F4E"/>
    <w:rsid w:val="006D23EE"/>
    <w:rsid w:val="006D28CB"/>
    <w:rsid w:val="0070521C"/>
    <w:rsid w:val="00711BA1"/>
    <w:rsid w:val="00713681"/>
    <w:rsid w:val="0072016B"/>
    <w:rsid w:val="007307E8"/>
    <w:rsid w:val="007448C9"/>
    <w:rsid w:val="00763DB4"/>
    <w:rsid w:val="00776604"/>
    <w:rsid w:val="00781BB4"/>
    <w:rsid w:val="0079109F"/>
    <w:rsid w:val="007C3329"/>
    <w:rsid w:val="007C7816"/>
    <w:rsid w:val="007E0C71"/>
    <w:rsid w:val="007E1016"/>
    <w:rsid w:val="007E19F5"/>
    <w:rsid w:val="007E2873"/>
    <w:rsid w:val="007E2B3B"/>
    <w:rsid w:val="007F7556"/>
    <w:rsid w:val="008005B0"/>
    <w:rsid w:val="00803E27"/>
    <w:rsid w:val="008115E0"/>
    <w:rsid w:val="00816296"/>
    <w:rsid w:val="00821897"/>
    <w:rsid w:val="008300A1"/>
    <w:rsid w:val="00834054"/>
    <w:rsid w:val="0083562A"/>
    <w:rsid w:val="008468A2"/>
    <w:rsid w:val="00855995"/>
    <w:rsid w:val="008573A0"/>
    <w:rsid w:val="00873550"/>
    <w:rsid w:val="00874DA0"/>
    <w:rsid w:val="00881E06"/>
    <w:rsid w:val="00885C74"/>
    <w:rsid w:val="00886A3A"/>
    <w:rsid w:val="008939FE"/>
    <w:rsid w:val="008A4753"/>
    <w:rsid w:val="008D5E28"/>
    <w:rsid w:val="0090168D"/>
    <w:rsid w:val="009111CA"/>
    <w:rsid w:val="00924421"/>
    <w:rsid w:val="00937B3B"/>
    <w:rsid w:val="00943490"/>
    <w:rsid w:val="009539EB"/>
    <w:rsid w:val="00957926"/>
    <w:rsid w:val="0096021C"/>
    <w:rsid w:val="00963960"/>
    <w:rsid w:val="00972DFD"/>
    <w:rsid w:val="00974D27"/>
    <w:rsid w:val="00980812"/>
    <w:rsid w:val="009832DF"/>
    <w:rsid w:val="00985D3E"/>
    <w:rsid w:val="009A0595"/>
    <w:rsid w:val="009A094F"/>
    <w:rsid w:val="009B3DAD"/>
    <w:rsid w:val="009C1512"/>
    <w:rsid w:val="009D4308"/>
    <w:rsid w:val="009E5AEA"/>
    <w:rsid w:val="009E766B"/>
    <w:rsid w:val="00A03F46"/>
    <w:rsid w:val="00A15041"/>
    <w:rsid w:val="00A21D20"/>
    <w:rsid w:val="00A22130"/>
    <w:rsid w:val="00A36B58"/>
    <w:rsid w:val="00A419A2"/>
    <w:rsid w:val="00A422D9"/>
    <w:rsid w:val="00A42D0F"/>
    <w:rsid w:val="00A51FA0"/>
    <w:rsid w:val="00A53109"/>
    <w:rsid w:val="00A6057C"/>
    <w:rsid w:val="00A629AF"/>
    <w:rsid w:val="00A7041F"/>
    <w:rsid w:val="00A71514"/>
    <w:rsid w:val="00A73AD2"/>
    <w:rsid w:val="00AB27B9"/>
    <w:rsid w:val="00AC618C"/>
    <w:rsid w:val="00AE1055"/>
    <w:rsid w:val="00AE198C"/>
    <w:rsid w:val="00AE78FC"/>
    <w:rsid w:val="00B11B37"/>
    <w:rsid w:val="00B20CA5"/>
    <w:rsid w:val="00B35E66"/>
    <w:rsid w:val="00B41B32"/>
    <w:rsid w:val="00B44504"/>
    <w:rsid w:val="00B47DDC"/>
    <w:rsid w:val="00B54BD1"/>
    <w:rsid w:val="00B73163"/>
    <w:rsid w:val="00BA7E3D"/>
    <w:rsid w:val="00BB0F5C"/>
    <w:rsid w:val="00BB1908"/>
    <w:rsid w:val="00BB26D1"/>
    <w:rsid w:val="00BE1906"/>
    <w:rsid w:val="00BE76D5"/>
    <w:rsid w:val="00BF35C9"/>
    <w:rsid w:val="00BF45AE"/>
    <w:rsid w:val="00C2215F"/>
    <w:rsid w:val="00C31BA8"/>
    <w:rsid w:val="00C416C9"/>
    <w:rsid w:val="00C64AB8"/>
    <w:rsid w:val="00C81EA0"/>
    <w:rsid w:val="00C909F6"/>
    <w:rsid w:val="00C92542"/>
    <w:rsid w:val="00D00017"/>
    <w:rsid w:val="00D05AF7"/>
    <w:rsid w:val="00D11643"/>
    <w:rsid w:val="00D315DA"/>
    <w:rsid w:val="00D34ABC"/>
    <w:rsid w:val="00D35B5D"/>
    <w:rsid w:val="00D43AFC"/>
    <w:rsid w:val="00D46C65"/>
    <w:rsid w:val="00D47A8D"/>
    <w:rsid w:val="00D51D0F"/>
    <w:rsid w:val="00D5283F"/>
    <w:rsid w:val="00D618C8"/>
    <w:rsid w:val="00D6352C"/>
    <w:rsid w:val="00D729B8"/>
    <w:rsid w:val="00D730B4"/>
    <w:rsid w:val="00D73E55"/>
    <w:rsid w:val="00D82234"/>
    <w:rsid w:val="00D8258C"/>
    <w:rsid w:val="00D90FA2"/>
    <w:rsid w:val="00D91C81"/>
    <w:rsid w:val="00DB01A5"/>
    <w:rsid w:val="00DB4819"/>
    <w:rsid w:val="00DC1721"/>
    <w:rsid w:val="00DD5996"/>
    <w:rsid w:val="00DF3C76"/>
    <w:rsid w:val="00E146C2"/>
    <w:rsid w:val="00E35130"/>
    <w:rsid w:val="00E36B64"/>
    <w:rsid w:val="00E46CD2"/>
    <w:rsid w:val="00E50BE4"/>
    <w:rsid w:val="00E6289A"/>
    <w:rsid w:val="00E73FD4"/>
    <w:rsid w:val="00E76D2D"/>
    <w:rsid w:val="00E847B5"/>
    <w:rsid w:val="00E863CF"/>
    <w:rsid w:val="00E91211"/>
    <w:rsid w:val="00EC69FE"/>
    <w:rsid w:val="00EE426D"/>
    <w:rsid w:val="00EE46F1"/>
    <w:rsid w:val="00F026C2"/>
    <w:rsid w:val="00F04458"/>
    <w:rsid w:val="00F25E6F"/>
    <w:rsid w:val="00F31A3E"/>
    <w:rsid w:val="00F36ADD"/>
    <w:rsid w:val="00F40203"/>
    <w:rsid w:val="00F56CD0"/>
    <w:rsid w:val="00F65536"/>
    <w:rsid w:val="00F741BB"/>
    <w:rsid w:val="00F81FE8"/>
    <w:rsid w:val="00F94031"/>
    <w:rsid w:val="00FB065C"/>
    <w:rsid w:val="00FB1CD8"/>
    <w:rsid w:val="00FB5A10"/>
    <w:rsid w:val="00FC1957"/>
    <w:rsid w:val="00FD1A2F"/>
    <w:rsid w:val="00FE2F87"/>
    <w:rsid w:val="00FF67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2B7CB"/>
  <w15:chartTrackingRefBased/>
  <w15:docId w15:val="{76BE440C-8699-4DC9-B7AD-01F450AB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C74"/>
    <w:rPr>
      <w:rFonts w:ascii="Arial" w:hAnsi="Arial"/>
      <w:sz w:val="20"/>
    </w:rPr>
  </w:style>
  <w:style w:type="paragraph" w:styleId="Heading1">
    <w:name w:val="heading 1"/>
    <w:basedOn w:val="Normal"/>
    <w:next w:val="Normal"/>
    <w:link w:val="Heading1Char"/>
    <w:uiPriority w:val="9"/>
    <w:qFormat/>
    <w:rsid w:val="005B0107"/>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qFormat/>
    <w:rsid w:val="008573A0"/>
    <w:pPr>
      <w:keepNext/>
      <w:keepLines/>
      <w:spacing w:before="40" w:after="0"/>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F40203"/>
    <w:rPr>
      <w:i/>
      <w:iCs/>
      <w:color w:val="4472C4" w:themeColor="accent1"/>
    </w:rPr>
  </w:style>
  <w:style w:type="paragraph" w:styleId="ListParagraph">
    <w:name w:val="List Paragraph"/>
    <w:basedOn w:val="Normal"/>
    <w:uiPriority w:val="34"/>
    <w:qFormat/>
    <w:rsid w:val="0041296A"/>
    <w:pPr>
      <w:ind w:left="720"/>
      <w:contextualSpacing/>
    </w:pPr>
  </w:style>
  <w:style w:type="character" w:customStyle="1" w:styleId="Heading1Char">
    <w:name w:val="Heading 1 Char"/>
    <w:basedOn w:val="DefaultParagraphFont"/>
    <w:link w:val="Heading1"/>
    <w:uiPriority w:val="9"/>
    <w:rsid w:val="005B0107"/>
    <w:rPr>
      <w:rFonts w:ascii="Arial" w:eastAsiaTheme="majorEastAsia" w:hAnsi="Arial" w:cstheme="majorBidi"/>
      <w:b/>
      <w:color w:val="2F5496" w:themeColor="accent1" w:themeShade="BF"/>
      <w:sz w:val="32"/>
      <w:szCs w:val="32"/>
    </w:rPr>
  </w:style>
  <w:style w:type="character" w:styleId="CommentReference">
    <w:name w:val="annotation reference"/>
    <w:basedOn w:val="DefaultParagraphFont"/>
    <w:uiPriority w:val="99"/>
    <w:semiHidden/>
    <w:unhideWhenUsed/>
    <w:rsid w:val="00D5283F"/>
    <w:rPr>
      <w:sz w:val="16"/>
      <w:szCs w:val="16"/>
    </w:rPr>
  </w:style>
  <w:style w:type="paragraph" w:styleId="CommentText">
    <w:name w:val="annotation text"/>
    <w:basedOn w:val="Normal"/>
    <w:link w:val="CommentTextChar"/>
    <w:uiPriority w:val="99"/>
    <w:unhideWhenUsed/>
    <w:rsid w:val="00D5283F"/>
    <w:pPr>
      <w:spacing w:line="240" w:lineRule="auto"/>
    </w:pPr>
    <w:rPr>
      <w:szCs w:val="20"/>
    </w:rPr>
  </w:style>
  <w:style w:type="character" w:customStyle="1" w:styleId="CommentTextChar">
    <w:name w:val="Comment Text Char"/>
    <w:basedOn w:val="DefaultParagraphFont"/>
    <w:link w:val="CommentText"/>
    <w:uiPriority w:val="99"/>
    <w:rsid w:val="00D528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5283F"/>
    <w:rPr>
      <w:b/>
      <w:bCs/>
    </w:rPr>
  </w:style>
  <w:style w:type="character" w:customStyle="1" w:styleId="CommentSubjectChar">
    <w:name w:val="Comment Subject Char"/>
    <w:basedOn w:val="CommentTextChar"/>
    <w:link w:val="CommentSubject"/>
    <w:uiPriority w:val="99"/>
    <w:semiHidden/>
    <w:rsid w:val="00D5283F"/>
    <w:rPr>
      <w:rFonts w:ascii="Arial" w:hAnsi="Arial"/>
      <w:b/>
      <w:bCs/>
      <w:sz w:val="20"/>
      <w:szCs w:val="20"/>
    </w:rPr>
  </w:style>
  <w:style w:type="table" w:styleId="TableGrid">
    <w:name w:val="Table Grid"/>
    <w:basedOn w:val="TableNormal"/>
    <w:uiPriority w:val="39"/>
    <w:rsid w:val="00DC1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15F"/>
    <w:rPr>
      <w:color w:val="0563C1" w:themeColor="hyperlink"/>
      <w:u w:val="single"/>
    </w:rPr>
  </w:style>
  <w:style w:type="character" w:styleId="UnresolvedMention">
    <w:name w:val="Unresolved Mention"/>
    <w:basedOn w:val="DefaultParagraphFont"/>
    <w:uiPriority w:val="99"/>
    <w:semiHidden/>
    <w:unhideWhenUsed/>
    <w:rsid w:val="00C2215F"/>
    <w:rPr>
      <w:color w:val="605E5C"/>
      <w:shd w:val="clear" w:color="auto" w:fill="E1DFDD"/>
    </w:rPr>
  </w:style>
  <w:style w:type="character" w:styleId="Emphasis">
    <w:name w:val="Emphasis"/>
    <w:basedOn w:val="DefaultParagraphFont"/>
    <w:uiPriority w:val="20"/>
    <w:qFormat/>
    <w:rsid w:val="005A7CDC"/>
    <w:rPr>
      <w:i/>
      <w:iCs/>
    </w:rPr>
  </w:style>
  <w:style w:type="character" w:styleId="Strong">
    <w:name w:val="Strong"/>
    <w:basedOn w:val="DefaultParagraphFont"/>
    <w:uiPriority w:val="22"/>
    <w:qFormat/>
    <w:rsid w:val="008115E0"/>
    <w:rPr>
      <w:b/>
      <w:bCs/>
    </w:rPr>
  </w:style>
  <w:style w:type="paragraph" w:styleId="Header">
    <w:name w:val="header"/>
    <w:basedOn w:val="Normal"/>
    <w:link w:val="HeaderChar"/>
    <w:uiPriority w:val="99"/>
    <w:unhideWhenUsed/>
    <w:rsid w:val="00FC1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957"/>
    <w:rPr>
      <w:rFonts w:ascii="Arial" w:hAnsi="Arial"/>
    </w:rPr>
  </w:style>
  <w:style w:type="paragraph" w:styleId="Footer">
    <w:name w:val="footer"/>
    <w:basedOn w:val="Normal"/>
    <w:link w:val="FooterChar"/>
    <w:uiPriority w:val="99"/>
    <w:unhideWhenUsed/>
    <w:rsid w:val="00FC1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957"/>
    <w:rPr>
      <w:rFonts w:ascii="Arial" w:hAnsi="Arial"/>
    </w:rPr>
  </w:style>
  <w:style w:type="paragraph" w:styleId="Caption">
    <w:name w:val="caption"/>
    <w:basedOn w:val="Normal"/>
    <w:next w:val="Normal"/>
    <w:uiPriority w:val="35"/>
    <w:unhideWhenUsed/>
    <w:qFormat/>
    <w:rsid w:val="006B06D8"/>
    <w:pPr>
      <w:spacing w:after="200" w:line="240" w:lineRule="auto"/>
    </w:pPr>
    <w:rPr>
      <w:iCs/>
      <w:color w:val="44546A" w:themeColor="text2"/>
      <w:sz w:val="18"/>
      <w:szCs w:val="18"/>
    </w:rPr>
  </w:style>
  <w:style w:type="paragraph" w:styleId="NoSpacing">
    <w:name w:val="No Spacing"/>
    <w:uiPriority w:val="1"/>
    <w:qFormat/>
    <w:rsid w:val="005938E9"/>
    <w:pPr>
      <w:spacing w:after="0" w:line="240" w:lineRule="auto"/>
    </w:pPr>
    <w:rPr>
      <w:rFonts w:ascii="Arial" w:hAnsi="Arial"/>
    </w:rPr>
  </w:style>
  <w:style w:type="paragraph" w:styleId="Subtitle">
    <w:name w:val="Subtitle"/>
    <w:basedOn w:val="Normal"/>
    <w:next w:val="Normal"/>
    <w:link w:val="SubtitleChar"/>
    <w:uiPriority w:val="11"/>
    <w:qFormat/>
    <w:rsid w:val="003431F6"/>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3431F6"/>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573A0"/>
    <w:rPr>
      <w:rFonts w:ascii="Arial" w:eastAsiaTheme="majorEastAsia" w:hAnsi="Arial" w:cstheme="majorBidi"/>
      <w:b/>
      <w:color w:val="2F5496" w:themeColor="accent1" w:themeShade="BF"/>
      <w:sz w:val="26"/>
      <w:szCs w:val="26"/>
    </w:rPr>
  </w:style>
  <w:style w:type="character" w:styleId="Mention">
    <w:name w:val="Mention"/>
    <w:basedOn w:val="DefaultParagraphFont"/>
    <w:uiPriority w:val="99"/>
    <w:unhideWhenUsed/>
    <w:rsid w:val="00803E27"/>
    <w:rPr>
      <w:color w:val="2B579A"/>
      <w:shd w:val="clear" w:color="auto" w:fill="E1DFDD"/>
    </w:rPr>
  </w:style>
  <w:style w:type="paragraph" w:styleId="Revision">
    <w:name w:val="Revision"/>
    <w:hidden/>
    <w:uiPriority w:val="99"/>
    <w:semiHidden/>
    <w:rsid w:val="006604E9"/>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647B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dards@msc.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sc.org/for-business/certification-bodies/supporting-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54" ma:contentTypeDescription="" ma:contentTypeScope="" ma:versionID="af2e53a0250cee0a42362ad590826732">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36b2d41b38fdf2afdc4aab9ce937efa7"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Standards_x0020_Team xmlns="DF4B8A4B-0CFC-4C20-846F-EA898DEF5F03" xsi:nil="true"/>
    <Year xmlns="DF4B8A4B-0CFC-4C20-846F-EA898DEF5F03">2022</Year>
    <Q_x0020_Month xmlns="DF4B8A4B-0CFC-4C20-846F-EA898DEF5F03">N/A</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_dlc_DocId xmlns="df4b8a4b-0cfc-4c20-846f-ea898def5f03">MSCSCIENCE-1007066154-1827</_dlc_DocId>
    <_dlc_DocIdUrl xmlns="df4b8a4b-0cfc-4c20-846f-ea898def5f03">
      <Url>https://marinestewardshipcouncil.sharepoint.com/sites/standards/FSR/_layouts/15/DocIdRedir.aspx?ID=MSCSCIENCE-1007066154-1827</Url>
      <Description>MSCSCIENCE-1007066154-1827</Description>
    </_dlc_DocIdUrl>
    <g81ef569017444c18994d7eb6af51100 xmlns="39cc9aa4-8199-4288-8a76-9798b9659fd2">
      <Terms xmlns="http://schemas.microsoft.com/office/infopath/2007/PartnerControls"/>
    </g81ef569017444c18994d7eb6af51100>
    <IconOverlay xmlns="http://schemas.microsoft.com/sharepoint/v4" xsi:nil="true"/>
    <n28856ef36e142d2acdcea917f605f78 xmlns="df4b8a4b-0cfc-4c20-846f-ea898def5f03">
      <Terms xmlns="http://schemas.microsoft.com/office/infopath/2007/PartnerControls"/>
    </n28856ef36e142d2acdcea917f605f78>
    <Reference_x0020_ID_x0020_Number xmlns="DF4B8A4B-0CFC-4C20-846F-EA898DEF5F03" xsi:nil="true"/>
    <Meeting_x0020_Name xmlns="DF4B8A4B-0CFC-4C20-846F-EA898DEF5F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BBD3B2-A280-4225-98E3-8EF3EE38DF27}"/>
</file>

<file path=customXml/itemProps2.xml><?xml version="1.0" encoding="utf-8"?>
<ds:datastoreItem xmlns:ds="http://schemas.openxmlformats.org/officeDocument/2006/customXml" ds:itemID="{3E640175-DF83-41E3-AECB-7DCB34090FFC}">
  <ds:schemaRefs>
    <ds:schemaRef ds:uri="http://schemas.microsoft.com/office/2006/metadata/properties"/>
    <ds:schemaRef ds:uri="http://schemas.microsoft.com/office/infopath/2007/PartnerControls"/>
    <ds:schemaRef ds:uri="DF4B8A4B-0CFC-4C20-846F-EA898DEF5F03"/>
    <ds:schemaRef ds:uri="df4b8a4b-0cfc-4c20-846f-ea898def5f03"/>
    <ds:schemaRef ds:uri="641cce0b-5f55-4fef-90f1-8df66e705b73"/>
  </ds:schemaRefs>
</ds:datastoreItem>
</file>

<file path=customXml/itemProps3.xml><?xml version="1.0" encoding="utf-8"?>
<ds:datastoreItem xmlns:ds="http://schemas.openxmlformats.org/officeDocument/2006/customXml" ds:itemID="{D52759B7-BA62-405E-997D-63BBCCE093E8}">
  <ds:schemaRefs>
    <ds:schemaRef ds:uri="http://schemas.microsoft.com/sharepoint/v3/contenttype/forms"/>
  </ds:schemaRefs>
</ds:datastoreItem>
</file>

<file path=customXml/itemProps4.xml><?xml version="1.0" encoding="utf-8"?>
<ds:datastoreItem xmlns:ds="http://schemas.openxmlformats.org/officeDocument/2006/customXml" ds:itemID="{41260550-76E8-4230-82B1-D4AA0C93190D}">
  <ds:schemaRefs>
    <ds:schemaRef ds:uri="http://schemas.openxmlformats.org/officeDocument/2006/bibliography"/>
  </ds:schemaRefs>
</ds:datastoreItem>
</file>

<file path=customXml/itemProps5.xml><?xml version="1.0" encoding="utf-8"?>
<ds:datastoreItem xmlns:ds="http://schemas.openxmlformats.org/officeDocument/2006/customXml" ds:itemID="{EC9BB602-FF9C-4627-8874-20D8352D1B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Chantal Lyons</dc:creator>
  <cp:keywords/>
  <dc:description/>
  <cp:lastModifiedBy>Kelly Vanstone</cp:lastModifiedBy>
  <cp:revision>271</cp:revision>
  <cp:lastPrinted>2022-09-11T06:22:00Z</cp:lastPrinted>
  <dcterms:created xsi:type="dcterms:W3CDTF">2022-08-19T15:01:00Z</dcterms:created>
  <dcterms:modified xsi:type="dcterms:W3CDTF">2022-10-18T12:54:00Z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0x0101000ABD0346977A1C4DA3191955390F333D00017EBDF15A323C48ADD4BB3C51524406</vt:lpwstr>
  </property>
  <property fmtid="{D5CDD505-2E9C-101B-9397-08002B2CF9AE}" pid="3" name="_dlc_DocIdItemGuid">
    <vt:lpwstr>93b04273-7830-40e4-9e0e-12d2b41ec5ea</vt:lpwstr>
  </property>
  <property fmtid="{D5CDD505-2E9C-101B-9397-08002B2CF9AE}" pid="4" name="Meeting Name Meta">
    <vt:lpwstr/>
  </property>
  <property fmtid="{D5CDD505-2E9C-101B-9397-08002B2CF9AE}" pid="5" name="Topic">
    <vt:lpwstr/>
  </property>
  <property fmtid="{D5CDD505-2E9C-101B-9397-08002B2CF9AE}" pid="6" name="Related_x0020_Organisatio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Internal_x0020_Workgin">
    <vt:lpwstr/>
  </property>
  <property fmtid="{D5CDD505-2E9C-101B-9397-08002B2CF9AE}" pid="11" name="MSCLocation">
    <vt:lpwstr/>
  </property>
  <property fmtid="{D5CDD505-2E9C-101B-9397-08002B2CF9AE}" pid="12" name="Project Name">
    <vt:lpwstr>812;#Forms and Templates|41b772d6-a41f-4d02-958f-381b9ff4b42f</vt:lpwstr>
  </property>
  <property fmtid="{D5CDD505-2E9C-101B-9397-08002B2CF9AE}" pid="13" name="Related Organisation">
    <vt:lpwstr/>
  </property>
  <property fmtid="{D5CDD505-2E9C-101B-9397-08002B2CF9AE}" pid="14" name="Internal Workgin">
    <vt:lpwstr/>
  </property>
  <property fmtid="{D5CDD505-2E9C-101B-9397-08002B2CF9AE}" pid="15" name="CAB">
    <vt:lpwstr/>
  </property>
  <property fmtid="{D5CDD505-2E9C-101B-9397-08002B2CF9AE}" pid="16" name="ga0d59f49781428386856d7ea5cf63fe">
    <vt:lpwstr/>
  </property>
  <property fmtid="{D5CDD505-2E9C-101B-9397-08002B2CF9AE}" pid="17" name="Comms Doc Type">
    <vt:lpwstr/>
  </property>
  <property fmtid="{D5CDD505-2E9C-101B-9397-08002B2CF9AE}" pid="18" name="Fishery_x0020_Code">
    <vt:lpwstr/>
  </property>
  <property fmtid="{D5CDD505-2E9C-101B-9397-08002B2CF9AE}" pid="19" name="fbde0561342a4a9991b074e2dffa29f1">
    <vt:lpwstr/>
  </property>
  <property fmtid="{D5CDD505-2E9C-101B-9397-08002B2CF9AE}" pid="20" name="Fishery_x0020_Name">
    <vt:lpwstr/>
  </property>
  <property fmtid="{D5CDD505-2E9C-101B-9397-08002B2CF9AE}" pid="21" name="FSR Topic">
    <vt:lpwstr/>
  </property>
  <property fmtid="{D5CDD505-2E9C-101B-9397-08002B2CF9AE}" pid="22" name="pe19571c904349bd9989241b2030d276">
    <vt:lpwstr/>
  </property>
  <property fmtid="{D5CDD505-2E9C-101B-9397-08002B2CF9AE}" pid="23" name="Fishery Code">
    <vt:lpwstr/>
  </property>
  <property fmtid="{D5CDD505-2E9C-101B-9397-08002B2CF9AE}" pid="24" name="Fishery Name">
    <vt:lpwstr/>
  </property>
</Properties>
</file>