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5917A" w14:textId="5CBAD66D" w:rsidR="002C04D0" w:rsidRDefault="002C04D0" w:rsidP="00F357DC">
      <w:pPr>
        <w:rPr>
          <w:rFonts w:ascii="Arial" w:hAnsi="Arial" w:cs="Arial"/>
          <w:b/>
          <w:iCs/>
          <w:sz w:val="36"/>
        </w:rPr>
      </w:pPr>
      <w:r>
        <w:rPr>
          <w:noProof/>
        </w:rPr>
        <w:drawing>
          <wp:inline distT="0" distB="0" distL="0" distR="0" wp14:anchorId="06C0FD07" wp14:editId="08468501">
            <wp:extent cx="1498600" cy="1299318"/>
            <wp:effectExtent l="0" t="0" r="0" b="0"/>
            <wp:docPr id="36870648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6488" name="Picture 1" descr="A black background with blue text&#10;&#10;Description automatically generated"/>
                    <pic:cNvPicPr/>
                  </pic:nvPicPr>
                  <pic:blipFill rotWithShape="1">
                    <a:blip r:embed="rId5">
                      <a:extLst>
                        <a:ext uri="{28A0092B-C50C-407E-A947-70E740481C1C}">
                          <a14:useLocalDpi xmlns:a14="http://schemas.microsoft.com/office/drawing/2010/main" val="0"/>
                        </a:ext>
                      </a:extLst>
                    </a:blip>
                    <a:srcRect l="62441" t="9399" r="15451" b="14004"/>
                    <a:stretch/>
                  </pic:blipFill>
                  <pic:spPr bwMode="auto">
                    <a:xfrm>
                      <a:off x="0" y="0"/>
                      <a:ext cx="1500509" cy="1300973"/>
                    </a:xfrm>
                    <a:prstGeom prst="rect">
                      <a:avLst/>
                    </a:prstGeom>
                    <a:ln>
                      <a:noFill/>
                    </a:ln>
                    <a:extLst>
                      <a:ext uri="{53640926-AAD7-44D8-BBD7-CCE9431645EC}">
                        <a14:shadowObscured xmlns:a14="http://schemas.microsoft.com/office/drawing/2010/main"/>
                      </a:ext>
                    </a:extLst>
                  </pic:spPr>
                </pic:pic>
              </a:graphicData>
            </a:graphic>
          </wp:inline>
        </w:drawing>
      </w:r>
    </w:p>
    <w:p w14:paraId="3A55F250" w14:textId="2FFF2CEE" w:rsidR="007D7143" w:rsidRPr="009A0092" w:rsidRDefault="00A02965" w:rsidP="00332FD6">
      <w:pPr>
        <w:jc w:val="center"/>
        <w:rPr>
          <w:rFonts w:ascii="Arial" w:hAnsi="Arial" w:cs="Arial"/>
          <w:b/>
          <w:bCs/>
          <w:iCs/>
          <w:sz w:val="36"/>
          <w:szCs w:val="36"/>
        </w:rPr>
      </w:pPr>
      <w:r w:rsidRPr="009A0092">
        <w:rPr>
          <w:rFonts w:ascii="Arial" w:hAnsi="Arial" w:cs="Arial"/>
          <w:b/>
          <w:iCs/>
          <w:sz w:val="36"/>
        </w:rPr>
        <w:t>El</w:t>
      </w:r>
      <w:r w:rsidR="00BA1AD1">
        <w:rPr>
          <w:rFonts w:ascii="Arial" w:hAnsi="Arial" w:cs="Arial"/>
          <w:b/>
          <w:iCs/>
          <w:sz w:val="36"/>
        </w:rPr>
        <w:t xml:space="preserve"> nuevo</w:t>
      </w:r>
      <w:r w:rsidRPr="009A0092">
        <w:rPr>
          <w:rFonts w:ascii="Arial" w:hAnsi="Arial" w:cs="Arial"/>
          <w:b/>
          <w:iCs/>
          <w:sz w:val="36"/>
        </w:rPr>
        <w:t xml:space="preserve"> informe MedPath </w:t>
      </w:r>
      <w:r w:rsidR="007D7143" w:rsidRPr="009A0092">
        <w:rPr>
          <w:rFonts w:ascii="Arial" w:hAnsi="Arial" w:cs="Arial"/>
          <w:b/>
          <w:iCs/>
          <w:sz w:val="36"/>
        </w:rPr>
        <w:t xml:space="preserve">muestra a las pesquerías del Mediterráneo </w:t>
      </w:r>
      <w:r w:rsidR="00720BD9" w:rsidRPr="009A0092">
        <w:rPr>
          <w:rFonts w:ascii="Arial" w:hAnsi="Arial" w:cs="Arial"/>
          <w:b/>
          <w:iCs/>
          <w:sz w:val="36"/>
        </w:rPr>
        <w:t xml:space="preserve">el </w:t>
      </w:r>
      <w:r w:rsidR="007D7143" w:rsidRPr="009A0092">
        <w:rPr>
          <w:rFonts w:ascii="Arial" w:hAnsi="Arial" w:cs="Arial"/>
          <w:b/>
          <w:iCs/>
          <w:sz w:val="36"/>
        </w:rPr>
        <w:t>camino hacia la sostenibilidad</w:t>
      </w:r>
    </w:p>
    <w:p w14:paraId="0E3DBF7B" w14:textId="3ED0E13A" w:rsidR="007D7143" w:rsidRDefault="002C04D0" w:rsidP="00515AFD">
      <w:pPr>
        <w:jc w:val="center"/>
        <w:rPr>
          <w:rFonts w:ascii="Arial" w:hAnsi="Arial" w:cs="Arial"/>
          <w:iCs/>
          <w:sz w:val="24"/>
        </w:rPr>
      </w:pPr>
      <w:r>
        <w:rPr>
          <w:rFonts w:ascii="Arial" w:hAnsi="Arial" w:cs="Arial"/>
          <w:iCs/>
          <w:sz w:val="24"/>
        </w:rPr>
        <w:t xml:space="preserve">Marine Stewardship Council lanza este informe que </w:t>
      </w:r>
      <w:r w:rsidR="00A24207" w:rsidRPr="009A0092">
        <w:rPr>
          <w:rFonts w:ascii="Arial" w:hAnsi="Arial" w:cs="Arial"/>
          <w:iCs/>
          <w:sz w:val="24"/>
        </w:rPr>
        <w:t>ofrece</w:t>
      </w:r>
      <w:r w:rsidR="007D7143" w:rsidRPr="009A0092">
        <w:rPr>
          <w:rFonts w:ascii="Arial" w:hAnsi="Arial" w:cs="Arial"/>
          <w:iCs/>
          <w:sz w:val="24"/>
        </w:rPr>
        <w:t xml:space="preserve"> soluciones para </w:t>
      </w:r>
      <w:r w:rsidR="009A0092" w:rsidRPr="009A0092">
        <w:rPr>
          <w:rFonts w:ascii="Arial" w:hAnsi="Arial" w:cs="Arial"/>
          <w:iCs/>
          <w:sz w:val="24"/>
        </w:rPr>
        <w:t xml:space="preserve">los problemas de </w:t>
      </w:r>
      <w:r w:rsidR="00515AFD" w:rsidRPr="009A0092">
        <w:rPr>
          <w:rFonts w:ascii="Arial" w:hAnsi="Arial" w:cs="Arial"/>
          <w:iCs/>
          <w:sz w:val="24"/>
        </w:rPr>
        <w:t xml:space="preserve">sobreexplotación y vulnerabilidad del </w:t>
      </w:r>
      <w:r w:rsidR="007D7143" w:rsidRPr="009A0092">
        <w:rPr>
          <w:rFonts w:ascii="Arial" w:hAnsi="Arial" w:cs="Arial"/>
          <w:iCs/>
          <w:sz w:val="24"/>
        </w:rPr>
        <w:t>mar Mediterráneo.</w:t>
      </w:r>
    </w:p>
    <w:p w14:paraId="0AFD4B75" w14:textId="68C8C840" w:rsidR="00AE77DF" w:rsidRPr="009A0092" w:rsidRDefault="00AE77DF" w:rsidP="00515AFD">
      <w:pPr>
        <w:jc w:val="center"/>
        <w:rPr>
          <w:rFonts w:ascii="Arial" w:hAnsi="Arial" w:cs="Arial"/>
          <w:iCs/>
          <w:sz w:val="24"/>
          <w:szCs w:val="24"/>
        </w:rPr>
      </w:pPr>
      <w:r>
        <w:rPr>
          <w:rFonts w:ascii="Arial" w:hAnsi="Arial" w:cs="Arial"/>
          <w:iCs/>
          <w:sz w:val="24"/>
        </w:rPr>
        <w:t xml:space="preserve">Varios expertos del </w:t>
      </w:r>
      <w:proofErr w:type="spellStart"/>
      <w:r>
        <w:rPr>
          <w:rFonts w:ascii="Arial" w:hAnsi="Arial" w:cs="Arial"/>
          <w:iCs/>
          <w:sz w:val="24"/>
        </w:rPr>
        <w:t>ICM</w:t>
      </w:r>
      <w:proofErr w:type="spellEnd"/>
      <w:r>
        <w:rPr>
          <w:rFonts w:ascii="Arial" w:hAnsi="Arial" w:cs="Arial"/>
          <w:iCs/>
          <w:sz w:val="24"/>
        </w:rPr>
        <w:t xml:space="preserve">-CSIC, WWF España y MSC debatirán sobre los logros obtenidos con este proyecto en un acto oficial, paralelo a la </w:t>
      </w:r>
      <w:r w:rsidR="00CF7BA8" w:rsidRPr="00CF7BA8">
        <w:rPr>
          <w:rFonts w:ascii="Arial" w:hAnsi="Arial" w:cs="Arial"/>
          <w:iCs/>
          <w:sz w:val="24"/>
        </w:rPr>
        <w:t xml:space="preserve">Conferencia del Decenio de los Océanos 2024 </w:t>
      </w:r>
      <w:r>
        <w:rPr>
          <w:rFonts w:ascii="Arial" w:hAnsi="Arial" w:cs="Arial"/>
          <w:iCs/>
          <w:sz w:val="24"/>
        </w:rPr>
        <w:t xml:space="preserve">de la ONU, que se celebrará </w:t>
      </w:r>
      <w:r w:rsidR="00703CE7">
        <w:rPr>
          <w:rFonts w:ascii="Arial" w:hAnsi="Arial" w:cs="Arial"/>
          <w:iCs/>
          <w:sz w:val="24"/>
        </w:rPr>
        <w:t xml:space="preserve">el 9 de abril en Barcelona. </w:t>
      </w:r>
    </w:p>
    <w:p w14:paraId="6FD18468" w14:textId="12D56C2F" w:rsidR="007D7143" w:rsidRPr="00515AFD" w:rsidRDefault="007D7143" w:rsidP="00332FD6">
      <w:pPr>
        <w:spacing w:after="0"/>
        <w:jc w:val="both"/>
        <w:rPr>
          <w:rFonts w:ascii="Arial" w:hAnsi="Arial" w:cs="Arial"/>
          <w:b/>
          <w:bCs/>
          <w:sz w:val="28"/>
          <w:szCs w:val="28"/>
        </w:rPr>
      </w:pPr>
      <w:r w:rsidRPr="00515AFD">
        <w:rPr>
          <w:rFonts w:ascii="Arial" w:hAnsi="Arial" w:cs="Arial"/>
          <w:b/>
          <w:bCs/>
          <w:sz w:val="28"/>
        </w:rPr>
        <w:t>El proyecto MedPath en cifras:</w:t>
      </w:r>
    </w:p>
    <w:p w14:paraId="53D18004" w14:textId="14923871" w:rsidR="007D7143" w:rsidRPr="003D3B39" w:rsidRDefault="007D7143" w:rsidP="00332FD6">
      <w:pPr>
        <w:pStyle w:val="ListParagraph"/>
        <w:numPr>
          <w:ilvl w:val="0"/>
          <w:numId w:val="2"/>
        </w:numPr>
        <w:jc w:val="both"/>
        <w:rPr>
          <w:rFonts w:ascii="Arial" w:hAnsi="Arial" w:cs="Arial"/>
        </w:rPr>
      </w:pPr>
      <w:r w:rsidRPr="003D3B39">
        <w:rPr>
          <w:rFonts w:ascii="Arial" w:hAnsi="Arial" w:cs="Arial"/>
        </w:rPr>
        <w:t xml:space="preserve">El mar Mediterráneo </w:t>
      </w:r>
      <w:r w:rsidR="00A24207" w:rsidRPr="003D3B39">
        <w:rPr>
          <w:rFonts w:ascii="Arial" w:hAnsi="Arial" w:cs="Arial"/>
        </w:rPr>
        <w:t>alberga</w:t>
      </w:r>
      <w:r w:rsidRPr="003D3B39">
        <w:rPr>
          <w:rFonts w:ascii="Arial" w:hAnsi="Arial" w:cs="Arial"/>
        </w:rPr>
        <w:t xml:space="preserve"> el 7,5 % y el 18 %, respectivamente, de las especies de fauna y flora marinas del mundo, </w:t>
      </w:r>
      <w:r w:rsidR="00A24207" w:rsidRPr="003D3B39">
        <w:rPr>
          <w:rFonts w:ascii="Arial" w:hAnsi="Arial" w:cs="Arial"/>
        </w:rPr>
        <w:t xml:space="preserve">pero </w:t>
      </w:r>
      <w:r w:rsidR="000744A7" w:rsidRPr="003D3B39">
        <w:rPr>
          <w:rFonts w:ascii="Arial" w:hAnsi="Arial" w:cs="Arial"/>
        </w:rPr>
        <w:t>afronta</w:t>
      </w:r>
      <w:r w:rsidRPr="003D3B39">
        <w:rPr>
          <w:rFonts w:ascii="Arial" w:hAnsi="Arial" w:cs="Arial"/>
        </w:rPr>
        <w:t xml:space="preserve"> </w:t>
      </w:r>
      <w:r w:rsidR="00A24207" w:rsidRPr="003D3B39">
        <w:rPr>
          <w:rFonts w:ascii="Arial" w:hAnsi="Arial" w:cs="Arial"/>
        </w:rPr>
        <w:t>varias</w:t>
      </w:r>
      <w:r w:rsidRPr="003D3B39">
        <w:rPr>
          <w:rFonts w:ascii="Arial" w:hAnsi="Arial" w:cs="Arial"/>
        </w:rPr>
        <w:t xml:space="preserve"> amenazas como, por ejemplo, la sobrepesca que afecta al 58 % de las poblaciones de peces de interés comercial.</w:t>
      </w:r>
    </w:p>
    <w:p w14:paraId="27290B92" w14:textId="2F54A7AC" w:rsidR="007D7143" w:rsidRPr="003D3B39" w:rsidRDefault="007D7143" w:rsidP="00332FD6">
      <w:pPr>
        <w:pStyle w:val="ListParagraph"/>
        <w:numPr>
          <w:ilvl w:val="0"/>
          <w:numId w:val="2"/>
        </w:numPr>
        <w:jc w:val="both"/>
        <w:rPr>
          <w:rFonts w:ascii="Arial" w:hAnsi="Arial" w:cs="Arial"/>
        </w:rPr>
      </w:pPr>
      <w:r w:rsidRPr="003D3B39">
        <w:rPr>
          <w:rFonts w:ascii="Arial" w:hAnsi="Arial" w:cs="Arial"/>
        </w:rPr>
        <w:t>En este proyecto</w:t>
      </w:r>
      <w:r w:rsidR="0014082F">
        <w:rPr>
          <w:rFonts w:ascii="Arial" w:hAnsi="Arial" w:cs="Arial"/>
        </w:rPr>
        <w:t>,</w:t>
      </w:r>
      <w:r w:rsidRPr="003D3B39">
        <w:rPr>
          <w:rFonts w:ascii="Arial" w:hAnsi="Arial" w:cs="Arial"/>
        </w:rPr>
        <w:t xml:space="preserve"> se han analizado 5 175 pesquerías de España, Francia, Italia y Grecia.</w:t>
      </w:r>
    </w:p>
    <w:p w14:paraId="6CADAC04" w14:textId="76F705C8" w:rsidR="007D7143" w:rsidRPr="003D3B39" w:rsidRDefault="007D7143" w:rsidP="00332FD6">
      <w:pPr>
        <w:pStyle w:val="ListParagraph"/>
        <w:numPr>
          <w:ilvl w:val="0"/>
          <w:numId w:val="2"/>
        </w:numPr>
        <w:jc w:val="both"/>
        <w:rPr>
          <w:rFonts w:ascii="Arial" w:hAnsi="Arial" w:cs="Arial"/>
        </w:rPr>
      </w:pPr>
      <w:r w:rsidRPr="003D3B39">
        <w:rPr>
          <w:rFonts w:ascii="Arial" w:hAnsi="Arial" w:cs="Arial"/>
        </w:rPr>
        <w:t>Se ha analizado el comportamiento actual de 34 de estas pesquerías sometiéndolas a una preevaluación conforme al Estándar de Pesquerías de MSC.</w:t>
      </w:r>
    </w:p>
    <w:p w14:paraId="5DACF655" w14:textId="6A61AD83" w:rsidR="007D7143" w:rsidRPr="003D3B39" w:rsidRDefault="007D7143" w:rsidP="00332FD6">
      <w:pPr>
        <w:pStyle w:val="ListParagraph"/>
        <w:numPr>
          <w:ilvl w:val="0"/>
          <w:numId w:val="2"/>
        </w:numPr>
        <w:jc w:val="both"/>
        <w:rPr>
          <w:rFonts w:ascii="Arial" w:hAnsi="Arial" w:cs="Arial"/>
        </w:rPr>
      </w:pPr>
      <w:r w:rsidRPr="003D3B39">
        <w:rPr>
          <w:rFonts w:ascii="Arial" w:hAnsi="Arial" w:cs="Arial"/>
        </w:rPr>
        <w:t xml:space="preserve">Las carencias encontradas en materia de sostenibilidad se han resuelto aplicando 47 medidas específicas </w:t>
      </w:r>
      <w:r w:rsidR="000744A7" w:rsidRPr="003D3B39">
        <w:rPr>
          <w:rFonts w:ascii="Arial" w:hAnsi="Arial" w:cs="Arial"/>
        </w:rPr>
        <w:t>destinadas a</w:t>
      </w:r>
      <w:r w:rsidRPr="003D3B39">
        <w:rPr>
          <w:rFonts w:ascii="Arial" w:hAnsi="Arial" w:cs="Arial"/>
        </w:rPr>
        <w:t xml:space="preserve"> mejorar la gestión de la pesca y reducir su impacto.</w:t>
      </w:r>
    </w:p>
    <w:p w14:paraId="4F7315D6" w14:textId="3445BBEE" w:rsidR="007D7143" w:rsidRPr="003D3B39" w:rsidRDefault="007D7143" w:rsidP="00332FD6">
      <w:pPr>
        <w:jc w:val="both"/>
        <w:rPr>
          <w:rFonts w:ascii="Arial" w:hAnsi="Arial" w:cs="Arial"/>
        </w:rPr>
      </w:pPr>
      <w:r w:rsidRPr="00B92E13">
        <w:rPr>
          <w:rFonts w:ascii="Arial" w:hAnsi="Arial" w:cs="Arial"/>
          <w:b/>
          <w:bCs/>
        </w:rPr>
        <w:t>4 de abril de 2024 -</w:t>
      </w:r>
      <w:r w:rsidRPr="003D3B39">
        <w:rPr>
          <w:rFonts w:ascii="Arial" w:hAnsi="Arial" w:cs="Arial"/>
        </w:rPr>
        <w:t xml:space="preserve"> </w:t>
      </w:r>
      <w:r w:rsidRPr="00BA1AD1">
        <w:rPr>
          <w:rFonts w:ascii="Arial" w:hAnsi="Arial" w:cs="Arial"/>
          <w:b/>
          <w:bCs/>
        </w:rPr>
        <w:t>Marine Stewardship Council (MSC),</w:t>
      </w:r>
      <w:r w:rsidRPr="003D3B39">
        <w:rPr>
          <w:rFonts w:ascii="Arial" w:hAnsi="Arial" w:cs="Arial"/>
        </w:rPr>
        <w:t xml:space="preserve"> organización sin ánimo de lucro cuya misión es acabar con la sobrepesca, publica hoy el </w:t>
      </w:r>
      <w:hyperlink r:id="rId6" w:history="1">
        <w:r w:rsidRPr="006F51BD">
          <w:rPr>
            <w:rStyle w:val="Hyperlink"/>
            <w:rFonts w:ascii="Arial" w:hAnsi="Arial" w:cs="Arial"/>
            <w:b/>
            <w:bCs/>
            <w:i/>
            <w:iCs/>
          </w:rPr>
          <w:t>informe</w:t>
        </w:r>
        <w:r w:rsidR="006C52E5" w:rsidRPr="006F51BD">
          <w:rPr>
            <w:rStyle w:val="Hyperlink"/>
            <w:rFonts w:ascii="Arial" w:hAnsi="Arial" w:cs="Arial"/>
            <w:b/>
            <w:bCs/>
            <w:i/>
            <w:iCs/>
          </w:rPr>
          <w:t xml:space="preserve"> de impactos</w:t>
        </w:r>
        <w:r w:rsidRPr="006F51BD">
          <w:rPr>
            <w:rStyle w:val="Hyperlink"/>
            <w:rFonts w:ascii="Arial" w:hAnsi="Arial" w:cs="Arial"/>
            <w:i/>
            <w:iCs/>
          </w:rPr>
          <w:t xml:space="preserve"> </w:t>
        </w:r>
        <w:r w:rsidRPr="006F51BD">
          <w:rPr>
            <w:rStyle w:val="Hyperlink"/>
            <w:rFonts w:ascii="Arial" w:hAnsi="Arial" w:cs="Arial"/>
            <w:b/>
            <w:bCs/>
            <w:i/>
            <w:iCs/>
          </w:rPr>
          <w:t>MedPath</w:t>
        </w:r>
      </w:hyperlink>
      <w:r w:rsidR="006C52E5">
        <w:rPr>
          <w:rFonts w:ascii="Arial" w:hAnsi="Arial" w:cs="Arial"/>
        </w:rPr>
        <w:t xml:space="preserve">, que recoge los avances realizados </w:t>
      </w:r>
      <w:r w:rsidR="00334DA8">
        <w:rPr>
          <w:rFonts w:ascii="Arial" w:hAnsi="Arial" w:cs="Arial"/>
        </w:rPr>
        <w:t xml:space="preserve">en el Mediterráneo para </w:t>
      </w:r>
      <w:r w:rsidRPr="003D3B39">
        <w:rPr>
          <w:rFonts w:ascii="Arial" w:hAnsi="Arial" w:cs="Arial"/>
        </w:rPr>
        <w:t xml:space="preserve">promover la pesca sostenible. </w:t>
      </w:r>
      <w:r w:rsidRPr="003D3B39">
        <w:rPr>
          <w:rFonts w:ascii="Arial" w:hAnsi="Arial" w:cs="Arial"/>
          <w:b/>
          <w:bCs/>
        </w:rPr>
        <w:t>MSC</w:t>
      </w:r>
      <w:r w:rsidRPr="003D3B39">
        <w:rPr>
          <w:rFonts w:ascii="Arial" w:hAnsi="Arial" w:cs="Arial"/>
        </w:rPr>
        <w:t xml:space="preserve"> trabaja con representantes del mundo científico y del sector pesquero con objeto de establecer un referente para la pesca sostenible</w:t>
      </w:r>
      <w:r w:rsidR="000744A7" w:rsidRPr="003D3B39">
        <w:rPr>
          <w:rFonts w:ascii="Arial" w:hAnsi="Arial" w:cs="Arial"/>
        </w:rPr>
        <w:t xml:space="preserve"> reconocido a escala mundial</w:t>
      </w:r>
      <w:r w:rsidRPr="003D3B39">
        <w:rPr>
          <w:rFonts w:ascii="Arial" w:hAnsi="Arial" w:cs="Arial"/>
        </w:rPr>
        <w:t xml:space="preserve">. Si bien </w:t>
      </w:r>
      <w:r w:rsidR="000A348C">
        <w:rPr>
          <w:rFonts w:ascii="Arial" w:hAnsi="Arial" w:cs="Arial"/>
        </w:rPr>
        <w:t xml:space="preserve">la organización </w:t>
      </w:r>
      <w:r w:rsidRPr="003D3B39">
        <w:rPr>
          <w:rFonts w:ascii="Arial" w:hAnsi="Arial" w:cs="Arial"/>
        </w:rPr>
        <w:t xml:space="preserve">es más conocida por su </w:t>
      </w:r>
      <w:hyperlink r:id="rId7" w:history="1">
        <w:r w:rsidR="000A348C" w:rsidRPr="00CF7BA8">
          <w:rPr>
            <w:rStyle w:val="Hyperlink"/>
            <w:rFonts w:ascii="Arial" w:hAnsi="Arial" w:cs="Arial"/>
            <w:b/>
            <w:bCs/>
          </w:rPr>
          <w:t>sello azul</w:t>
        </w:r>
        <w:r w:rsidR="000A348C" w:rsidRPr="00CF7BA8">
          <w:rPr>
            <w:rStyle w:val="Hyperlink"/>
            <w:rFonts w:ascii="Arial" w:hAnsi="Arial" w:cs="Arial"/>
            <w:b/>
            <w:bCs/>
            <w:u w:val="none"/>
          </w:rPr>
          <w:t>,</w:t>
        </w:r>
      </w:hyperlink>
      <w:r w:rsidR="000A348C">
        <w:rPr>
          <w:rFonts w:ascii="Arial" w:hAnsi="Arial" w:cs="Arial"/>
        </w:rPr>
        <w:t xml:space="preserve"> </w:t>
      </w:r>
      <w:r w:rsidR="000744A7" w:rsidRPr="003D3B39">
        <w:rPr>
          <w:rFonts w:ascii="Arial" w:hAnsi="Arial" w:cs="Arial"/>
        </w:rPr>
        <w:t>su</w:t>
      </w:r>
      <w:r w:rsidRPr="003D3B39">
        <w:rPr>
          <w:rFonts w:ascii="Arial" w:hAnsi="Arial" w:cs="Arial"/>
        </w:rPr>
        <w:t xml:space="preserve"> proyecto </w:t>
      </w:r>
      <w:r w:rsidRPr="003D3B39">
        <w:rPr>
          <w:rFonts w:ascii="Arial" w:hAnsi="Arial" w:cs="Arial"/>
          <w:b/>
        </w:rPr>
        <w:t>MedPath</w:t>
      </w:r>
      <w:r w:rsidR="000744A7" w:rsidRPr="003D3B39">
        <w:rPr>
          <w:rFonts w:ascii="Arial" w:hAnsi="Arial" w:cs="Arial"/>
        </w:rPr>
        <w:t xml:space="preserve">, </w:t>
      </w:r>
      <w:r w:rsidRPr="003D3B39">
        <w:rPr>
          <w:rFonts w:ascii="Arial" w:hAnsi="Arial" w:cs="Arial"/>
        </w:rPr>
        <w:t xml:space="preserve">que </w:t>
      </w:r>
      <w:r w:rsidR="00BA1AD1">
        <w:rPr>
          <w:rFonts w:ascii="Arial" w:hAnsi="Arial" w:cs="Arial"/>
        </w:rPr>
        <w:t xml:space="preserve">se </w:t>
      </w:r>
      <w:r w:rsidRPr="003D3B39">
        <w:rPr>
          <w:rFonts w:ascii="Arial" w:hAnsi="Arial" w:cs="Arial"/>
        </w:rPr>
        <w:t>desarrolla en España</w:t>
      </w:r>
      <w:r w:rsidR="000A348C">
        <w:rPr>
          <w:rFonts w:ascii="Arial" w:hAnsi="Arial" w:cs="Arial"/>
        </w:rPr>
        <w:t xml:space="preserve">, </w:t>
      </w:r>
      <w:r w:rsidRPr="003D3B39">
        <w:rPr>
          <w:rFonts w:ascii="Arial" w:hAnsi="Arial" w:cs="Arial"/>
        </w:rPr>
        <w:t>Francia</w:t>
      </w:r>
      <w:r w:rsidR="000A348C">
        <w:rPr>
          <w:rFonts w:ascii="Arial" w:hAnsi="Arial" w:cs="Arial"/>
        </w:rPr>
        <w:t>, Italia y Grecia,</w:t>
      </w:r>
      <w:r w:rsidRPr="003D3B39">
        <w:rPr>
          <w:rFonts w:ascii="Arial" w:hAnsi="Arial" w:cs="Arial"/>
        </w:rPr>
        <w:t xml:space="preserve"> junto con colaboradores como WWF, </w:t>
      </w:r>
      <w:r w:rsidR="000744A7" w:rsidRPr="003D3B39">
        <w:rPr>
          <w:rFonts w:ascii="Arial" w:hAnsi="Arial" w:cs="Arial"/>
        </w:rPr>
        <w:t>está ayudando</w:t>
      </w:r>
      <w:r w:rsidRPr="003D3B39">
        <w:rPr>
          <w:rFonts w:ascii="Arial" w:hAnsi="Arial" w:cs="Arial"/>
        </w:rPr>
        <w:t xml:space="preserve"> a </w:t>
      </w:r>
      <w:r w:rsidR="00644A82">
        <w:rPr>
          <w:rFonts w:ascii="Arial" w:hAnsi="Arial" w:cs="Arial"/>
        </w:rPr>
        <w:t xml:space="preserve">las </w:t>
      </w:r>
      <w:r w:rsidRPr="003D3B39">
        <w:rPr>
          <w:rFonts w:ascii="Arial" w:hAnsi="Arial" w:cs="Arial"/>
        </w:rPr>
        <w:t xml:space="preserve">pesquerías que aún no </w:t>
      </w:r>
      <w:r w:rsidR="00644A82">
        <w:rPr>
          <w:rFonts w:ascii="Arial" w:hAnsi="Arial" w:cs="Arial"/>
        </w:rPr>
        <w:t xml:space="preserve">reúnen los requisitos para optar a la certificación bajo el Estándar de Pesquerías de MSC, </w:t>
      </w:r>
      <w:r w:rsidRPr="003D3B39">
        <w:rPr>
          <w:rFonts w:ascii="Arial" w:hAnsi="Arial" w:cs="Arial"/>
        </w:rPr>
        <w:t xml:space="preserve">pero que están trabajando para mejorar su comportamiento a nivel ecológico. </w:t>
      </w:r>
    </w:p>
    <w:p w14:paraId="0D198F5B" w14:textId="784A49E5" w:rsidR="007D7143" w:rsidRPr="003D3B39" w:rsidRDefault="000744A7" w:rsidP="00332FD6">
      <w:pPr>
        <w:jc w:val="both"/>
        <w:rPr>
          <w:rFonts w:ascii="Arial" w:hAnsi="Arial" w:cs="Arial"/>
        </w:rPr>
      </w:pPr>
      <w:r w:rsidRPr="003D3B39">
        <w:rPr>
          <w:rFonts w:ascii="Arial" w:hAnsi="Arial" w:cs="Arial"/>
        </w:rPr>
        <w:t>En palabras del</w:t>
      </w:r>
      <w:r w:rsidRPr="003D3B39">
        <w:rPr>
          <w:rFonts w:ascii="Arial" w:hAnsi="Arial" w:cs="Arial"/>
          <w:b/>
        </w:rPr>
        <w:t xml:space="preserve"> </w:t>
      </w:r>
      <w:r w:rsidR="006F3FE4">
        <w:rPr>
          <w:rFonts w:ascii="Arial" w:hAnsi="Arial" w:cs="Arial"/>
          <w:b/>
        </w:rPr>
        <w:t>c</w:t>
      </w:r>
      <w:r w:rsidR="007D7143" w:rsidRPr="003D3B39">
        <w:rPr>
          <w:rFonts w:ascii="Arial" w:hAnsi="Arial" w:cs="Arial"/>
          <w:b/>
        </w:rPr>
        <w:t>oordinador de MedPath y Responsable de Pesca de MSC para el Mediterráneo en España</w:t>
      </w:r>
      <w:r w:rsidR="006F3FE4">
        <w:rPr>
          <w:rFonts w:ascii="Arial" w:hAnsi="Arial" w:cs="Arial"/>
          <w:b/>
        </w:rPr>
        <w:t>, Julio Agujetas</w:t>
      </w:r>
      <w:r w:rsidR="007D7143" w:rsidRPr="003D3B39">
        <w:rPr>
          <w:rFonts w:ascii="Arial" w:hAnsi="Arial" w:cs="Arial"/>
        </w:rPr>
        <w:t xml:space="preserve">: </w:t>
      </w:r>
      <w:r w:rsidRPr="003D3B39">
        <w:rPr>
          <w:rFonts w:ascii="Arial" w:hAnsi="Arial" w:cs="Arial"/>
        </w:rPr>
        <w:t>“</w:t>
      </w:r>
      <w:r w:rsidR="007D7143" w:rsidRPr="003D3B39">
        <w:rPr>
          <w:rFonts w:ascii="Arial" w:hAnsi="Arial" w:cs="Arial"/>
        </w:rPr>
        <w:t>Nuestro objetivo es fomentar prácticas pesqueras sostenibles en el Mediterráneo, que es una de las regiones más sobreexplotadas del mundo. Junto con nuestros colaboradores</w:t>
      </w:r>
      <w:r w:rsidR="006F3FE4">
        <w:rPr>
          <w:rFonts w:ascii="Arial" w:hAnsi="Arial" w:cs="Arial"/>
        </w:rPr>
        <w:t>,</w:t>
      </w:r>
      <w:r w:rsidR="007D7143" w:rsidRPr="003D3B39">
        <w:rPr>
          <w:rFonts w:ascii="Arial" w:hAnsi="Arial" w:cs="Arial"/>
        </w:rPr>
        <w:t xml:space="preserve"> hemos identificado qué áreas deben mejorar y </w:t>
      </w:r>
      <w:r w:rsidR="001315EE" w:rsidRPr="003D3B39">
        <w:rPr>
          <w:rFonts w:ascii="Arial" w:hAnsi="Arial" w:cs="Arial"/>
        </w:rPr>
        <w:t>hemos elaborado</w:t>
      </w:r>
      <w:r w:rsidR="007D7143" w:rsidRPr="003D3B39">
        <w:rPr>
          <w:rFonts w:ascii="Arial" w:hAnsi="Arial" w:cs="Arial"/>
        </w:rPr>
        <w:t xml:space="preserve"> unos planes de acción específicos que las pesquerías pueden aplicar. Entre los logros conseguidos el informe destaca: el desarrollo de una nueva aplicación informática (</w:t>
      </w:r>
      <w:r w:rsidR="007D7143" w:rsidRPr="003D3B39">
        <w:rPr>
          <w:rFonts w:ascii="Arial" w:hAnsi="Arial" w:cs="Arial"/>
          <w:i/>
          <w:iCs/>
        </w:rPr>
        <w:t>app</w:t>
      </w:r>
      <w:r w:rsidR="007D7143" w:rsidRPr="003D3B39">
        <w:rPr>
          <w:rFonts w:ascii="Arial" w:hAnsi="Arial" w:cs="Arial"/>
        </w:rPr>
        <w:t xml:space="preserve">) para mejorar la recopilación y el análisis de datos de las poblaciones de peces al norte del mar de Alborán en España; en Francia hemos </w:t>
      </w:r>
      <w:r w:rsidR="00CF3B43" w:rsidRPr="003D3B39">
        <w:rPr>
          <w:rFonts w:ascii="Arial" w:hAnsi="Arial" w:cs="Arial"/>
        </w:rPr>
        <w:t>contribuido</w:t>
      </w:r>
      <w:r w:rsidR="007D7143" w:rsidRPr="003D3B39">
        <w:rPr>
          <w:rFonts w:ascii="Arial" w:hAnsi="Arial" w:cs="Arial"/>
        </w:rPr>
        <w:t xml:space="preserve"> </w:t>
      </w:r>
      <w:r w:rsidR="00CF3B43" w:rsidRPr="003D3B39">
        <w:rPr>
          <w:rFonts w:ascii="Arial" w:hAnsi="Arial" w:cs="Arial"/>
        </w:rPr>
        <w:t xml:space="preserve">a </w:t>
      </w:r>
      <w:r w:rsidR="007D7143" w:rsidRPr="003D3B39">
        <w:rPr>
          <w:rFonts w:ascii="Arial" w:hAnsi="Arial" w:cs="Arial"/>
        </w:rPr>
        <w:t xml:space="preserve">la introducción de nuevas normativas de pesca para las pesquerías de dentón y de erizo de mar; en Italia </w:t>
      </w:r>
      <w:r w:rsidRPr="003D3B39">
        <w:rPr>
          <w:rFonts w:ascii="Arial" w:hAnsi="Arial" w:cs="Arial"/>
        </w:rPr>
        <w:t xml:space="preserve">hemos desarrollado </w:t>
      </w:r>
      <w:r w:rsidR="007D7143" w:rsidRPr="003D3B39">
        <w:rPr>
          <w:rFonts w:ascii="Arial" w:hAnsi="Arial" w:cs="Arial"/>
        </w:rPr>
        <w:t xml:space="preserve">una </w:t>
      </w:r>
      <w:r w:rsidR="007D7143" w:rsidRPr="003D3B39">
        <w:rPr>
          <w:rFonts w:ascii="Arial" w:hAnsi="Arial" w:cs="Arial"/>
        </w:rPr>
        <w:lastRenderedPageBreak/>
        <w:t>metodología para las pesquerías con datos limitados (1); y en Grecia se han recopilado pruebas que permitirán a los científicos evaluar la salud de las pesquerías de pulpo</w:t>
      </w:r>
      <w:r w:rsidRPr="003D3B39">
        <w:rPr>
          <w:rFonts w:ascii="Arial" w:hAnsi="Arial" w:cs="Arial"/>
        </w:rPr>
        <w:t>”</w:t>
      </w:r>
      <w:r w:rsidR="007D7143" w:rsidRPr="003D3B39">
        <w:rPr>
          <w:rFonts w:ascii="Arial" w:hAnsi="Arial" w:cs="Arial"/>
        </w:rPr>
        <w:t xml:space="preserve">. </w:t>
      </w:r>
    </w:p>
    <w:p w14:paraId="289D5D04" w14:textId="77777777" w:rsidR="007D7143" w:rsidRPr="00991D9E" w:rsidRDefault="007D7143" w:rsidP="00ED5680">
      <w:pPr>
        <w:spacing w:after="0"/>
        <w:jc w:val="both"/>
        <w:rPr>
          <w:rFonts w:ascii="Arial" w:hAnsi="Arial" w:cs="Arial"/>
          <w:b/>
          <w:bCs/>
          <w:color w:val="467886"/>
          <w:sz w:val="26"/>
          <w:szCs w:val="26"/>
        </w:rPr>
      </w:pPr>
      <w:r w:rsidRPr="00991D9E">
        <w:rPr>
          <w:rFonts w:ascii="Arial" w:hAnsi="Arial" w:cs="Arial"/>
          <w:b/>
          <w:color w:val="467886"/>
          <w:sz w:val="26"/>
          <w:szCs w:val="26"/>
        </w:rPr>
        <w:t>El mar Mediterráneo</w:t>
      </w:r>
    </w:p>
    <w:p w14:paraId="38063CD1" w14:textId="3B723123" w:rsidR="007D7143" w:rsidRPr="003D3B39" w:rsidRDefault="007D7143" w:rsidP="00332FD6">
      <w:pPr>
        <w:jc w:val="both"/>
        <w:rPr>
          <w:rFonts w:ascii="Arial" w:hAnsi="Arial" w:cs="Arial"/>
        </w:rPr>
      </w:pPr>
      <w:r w:rsidRPr="003D3B39">
        <w:rPr>
          <w:rFonts w:ascii="Arial" w:hAnsi="Arial" w:cs="Arial"/>
        </w:rPr>
        <w:t>El mar Mediterráneo representa s</w:t>
      </w:r>
      <w:r w:rsidR="00462A65">
        <w:rPr>
          <w:rFonts w:ascii="Arial" w:hAnsi="Arial" w:cs="Arial"/>
        </w:rPr>
        <w:t>o</w:t>
      </w:r>
      <w:r w:rsidRPr="003D3B39">
        <w:rPr>
          <w:rFonts w:ascii="Arial" w:hAnsi="Arial" w:cs="Arial"/>
        </w:rPr>
        <w:t>lo el 0,7 % de la superficie de los océanos del mundo, sin embargo</w:t>
      </w:r>
      <w:r w:rsidR="00404BC8">
        <w:rPr>
          <w:rFonts w:ascii="Arial" w:hAnsi="Arial" w:cs="Arial"/>
        </w:rPr>
        <w:t xml:space="preserve">, </w:t>
      </w:r>
      <w:r w:rsidRPr="003D3B39">
        <w:rPr>
          <w:rFonts w:ascii="Arial" w:hAnsi="Arial" w:cs="Arial"/>
        </w:rPr>
        <w:t xml:space="preserve">alberga el 7,5 % y el 18 %, respectivamente, de las especies de fauna y flora marinas. Actualmente, numerosas amenazas, como </w:t>
      </w:r>
      <w:r w:rsidR="001315EE" w:rsidRPr="003D3B39">
        <w:rPr>
          <w:rFonts w:ascii="Arial" w:hAnsi="Arial" w:cs="Arial"/>
        </w:rPr>
        <w:t xml:space="preserve">son </w:t>
      </w:r>
      <w:r w:rsidRPr="003D3B39">
        <w:rPr>
          <w:rFonts w:ascii="Arial" w:hAnsi="Arial" w:cs="Arial"/>
        </w:rPr>
        <w:t xml:space="preserve">la sobrepesca, la contaminación, el cambio climático y la propagación de especies invasoras, están provocando la degradación generalizada de los ecosistemas marinos y reduciendo la biodiversidad. Según la Comisión General de Pesca del Mediterráneo (2), el sector pesquero del Mediterráneo genera </w:t>
      </w:r>
      <w:r w:rsidRPr="003D3B39">
        <w:rPr>
          <w:rFonts w:ascii="Arial" w:hAnsi="Arial" w:cs="Arial"/>
          <w:b/>
        </w:rPr>
        <w:t>183 000 empleos directos</w:t>
      </w:r>
      <w:r w:rsidRPr="003D3B39">
        <w:rPr>
          <w:rFonts w:ascii="Arial" w:hAnsi="Arial" w:cs="Arial"/>
        </w:rPr>
        <w:t xml:space="preserve">, cuenta con </w:t>
      </w:r>
      <w:r w:rsidRPr="003D3B39">
        <w:rPr>
          <w:rFonts w:ascii="Arial" w:hAnsi="Arial" w:cs="Arial"/>
          <w:b/>
        </w:rPr>
        <w:t>84 000 embarcaciones</w:t>
      </w:r>
      <w:r w:rsidRPr="003D3B39">
        <w:rPr>
          <w:rFonts w:ascii="Arial" w:hAnsi="Arial" w:cs="Arial"/>
        </w:rPr>
        <w:t xml:space="preserve"> y </w:t>
      </w:r>
      <w:r w:rsidRPr="003D3B39">
        <w:rPr>
          <w:rFonts w:ascii="Arial" w:hAnsi="Arial" w:cs="Arial"/>
          <w:b/>
        </w:rPr>
        <w:t>la media de las capturas totales asciende a 1 063 200 toneladas,</w:t>
      </w:r>
      <w:r w:rsidRPr="003D3B39">
        <w:rPr>
          <w:rFonts w:ascii="Arial" w:hAnsi="Arial" w:cs="Arial"/>
        </w:rPr>
        <w:t xml:space="preserve"> lo que supone </w:t>
      </w:r>
      <w:r w:rsidRPr="003D3B39">
        <w:rPr>
          <w:rFonts w:ascii="Arial" w:hAnsi="Arial" w:cs="Arial"/>
          <w:b/>
        </w:rPr>
        <w:t>unos ingresos anuales de unos 2 800 millones de euros</w:t>
      </w:r>
      <w:r w:rsidRPr="003D3B39">
        <w:rPr>
          <w:rFonts w:ascii="Arial" w:hAnsi="Arial" w:cs="Arial"/>
        </w:rPr>
        <w:t xml:space="preserve">. </w:t>
      </w:r>
      <w:r w:rsidRPr="003D3B39">
        <w:rPr>
          <w:rFonts w:ascii="Arial" w:hAnsi="Arial" w:cs="Arial"/>
          <w:b/>
        </w:rPr>
        <w:t>El 58 % de las poblaciones comerciales se pescan sobrepasando los límites biológicos de sostenibilidad</w:t>
      </w:r>
      <w:r w:rsidRPr="003D3B39">
        <w:rPr>
          <w:rFonts w:ascii="Arial" w:hAnsi="Arial" w:cs="Arial"/>
        </w:rPr>
        <w:t xml:space="preserve"> y aunque </w:t>
      </w:r>
      <w:r w:rsidR="001315EE" w:rsidRPr="003D3B39">
        <w:rPr>
          <w:rFonts w:ascii="Arial" w:hAnsi="Arial" w:cs="Arial"/>
        </w:rPr>
        <w:t>en</w:t>
      </w:r>
      <w:r w:rsidRPr="003D3B39">
        <w:rPr>
          <w:rFonts w:ascii="Arial" w:hAnsi="Arial" w:cs="Arial"/>
        </w:rPr>
        <w:t xml:space="preserve"> la década pasada la presión pesquera disminuyó un 31 % sigue siendo </w:t>
      </w:r>
      <w:r w:rsidRPr="003D3B39">
        <w:rPr>
          <w:rFonts w:ascii="Arial" w:hAnsi="Arial" w:cs="Arial"/>
          <w:b/>
        </w:rPr>
        <w:t>dos veces superior</w:t>
      </w:r>
      <w:r w:rsidRPr="003D3B39">
        <w:rPr>
          <w:rFonts w:ascii="Arial" w:hAnsi="Arial" w:cs="Arial"/>
        </w:rPr>
        <w:t xml:space="preserve"> a los niveles de sostenibilidad. </w:t>
      </w:r>
    </w:p>
    <w:p w14:paraId="6257FA03" w14:textId="77777777" w:rsidR="007D7143" w:rsidRPr="00991D9E" w:rsidRDefault="007D7143" w:rsidP="00EC7A24">
      <w:pPr>
        <w:spacing w:after="0"/>
        <w:jc w:val="both"/>
        <w:rPr>
          <w:rFonts w:ascii="Arial" w:hAnsi="Arial" w:cs="Arial"/>
          <w:b/>
          <w:bCs/>
          <w:color w:val="467886"/>
          <w:sz w:val="26"/>
          <w:szCs w:val="26"/>
        </w:rPr>
      </w:pPr>
      <w:r w:rsidRPr="00991D9E">
        <w:rPr>
          <w:rFonts w:ascii="Arial" w:hAnsi="Arial" w:cs="Arial"/>
          <w:b/>
          <w:color w:val="467886"/>
          <w:sz w:val="26"/>
          <w:szCs w:val="26"/>
        </w:rPr>
        <w:t>MSC en el Mediterráneo: un camino hacia la sostenibilidad</w:t>
      </w:r>
    </w:p>
    <w:p w14:paraId="641F27FE" w14:textId="0248FCDF" w:rsidR="007D7143" w:rsidRPr="003D3B39" w:rsidRDefault="007D7143" w:rsidP="00332FD6">
      <w:pPr>
        <w:jc w:val="both"/>
        <w:rPr>
          <w:rFonts w:ascii="Arial" w:eastAsia="Times New Roman" w:hAnsi="Arial" w:cs="Arial"/>
          <w:color w:val="4A5E62"/>
          <w:kern w:val="0"/>
          <w:sz w:val="26"/>
          <w:szCs w:val="26"/>
          <w14:ligatures w14:val="none"/>
        </w:rPr>
      </w:pPr>
      <w:r w:rsidRPr="003D3B39">
        <w:rPr>
          <w:rFonts w:ascii="Arial" w:hAnsi="Arial" w:cs="Arial"/>
        </w:rPr>
        <w:t xml:space="preserve">MSC ha desarrollado el </w:t>
      </w:r>
      <w:hyperlink r:id="rId8" w:history="1">
        <w:r w:rsidR="00F831F6" w:rsidRPr="00F831F6">
          <w:rPr>
            <w:rStyle w:val="Hyperlink"/>
            <w:rFonts w:ascii="Arial" w:hAnsi="Arial" w:cs="Arial"/>
            <w:b/>
            <w:u w:val="none"/>
          </w:rPr>
          <w:t>p</w:t>
        </w:r>
        <w:r w:rsidRPr="00F831F6">
          <w:rPr>
            <w:rStyle w:val="Hyperlink"/>
            <w:rFonts w:ascii="Arial" w:hAnsi="Arial" w:cs="Arial"/>
            <w:b/>
            <w:u w:val="none"/>
          </w:rPr>
          <w:t>rograma</w:t>
        </w:r>
        <w:r w:rsidRPr="00F831F6">
          <w:rPr>
            <w:rStyle w:val="Hyperlink"/>
            <w:rFonts w:ascii="Arial" w:hAnsi="Arial" w:cs="Arial"/>
            <w:bCs/>
            <w:u w:val="none"/>
          </w:rPr>
          <w:t xml:space="preserve"> </w:t>
        </w:r>
        <w:r w:rsidRPr="00F831F6">
          <w:rPr>
            <w:rStyle w:val="Hyperlink"/>
            <w:rFonts w:ascii="Arial" w:hAnsi="Arial" w:cs="Arial"/>
            <w:b/>
            <w:i/>
            <w:iCs/>
          </w:rPr>
          <w:t>Pathway to Sustainability</w:t>
        </w:r>
      </w:hyperlink>
      <w:r w:rsidRPr="003D3B39">
        <w:rPr>
          <w:rFonts w:ascii="Arial" w:hAnsi="Arial" w:cs="Arial"/>
        </w:rPr>
        <w:t xml:space="preserve"> con objeto de ayudar a las pesquerías a mejorar su comportamiento a nivel ecológico y trabajar con miras a cumplir el Estándar de Pesquerías de MSC. </w:t>
      </w:r>
      <w:r w:rsidR="001315EE" w:rsidRPr="003D3B39">
        <w:rPr>
          <w:rFonts w:ascii="Arial" w:hAnsi="Arial" w:cs="Arial"/>
        </w:rPr>
        <w:t>A través de sus proyectos a nivel local</w:t>
      </w:r>
      <w:r w:rsidR="00013DE5">
        <w:rPr>
          <w:rFonts w:ascii="Arial" w:hAnsi="Arial" w:cs="Arial"/>
        </w:rPr>
        <w:t>,</w:t>
      </w:r>
      <w:r w:rsidR="001315EE" w:rsidRPr="003D3B39">
        <w:rPr>
          <w:rFonts w:ascii="Arial" w:hAnsi="Arial" w:cs="Arial"/>
        </w:rPr>
        <w:t xml:space="preserve"> el</w:t>
      </w:r>
      <w:r w:rsidRPr="003D3B39">
        <w:rPr>
          <w:rFonts w:ascii="Arial" w:hAnsi="Arial" w:cs="Arial"/>
        </w:rPr>
        <w:t xml:space="preserve"> programa ofrece</w:t>
      </w:r>
      <w:r w:rsidR="001315EE" w:rsidRPr="003D3B39">
        <w:rPr>
          <w:rFonts w:ascii="Arial" w:hAnsi="Arial" w:cs="Arial"/>
        </w:rPr>
        <w:t xml:space="preserve"> </w:t>
      </w:r>
      <w:r w:rsidRPr="003D3B39">
        <w:rPr>
          <w:rFonts w:ascii="Arial" w:hAnsi="Arial" w:cs="Arial"/>
        </w:rPr>
        <w:t>un conjunto de instrumentos, materiales de formación y un marco</w:t>
      </w:r>
      <w:r w:rsidR="001315EE" w:rsidRPr="003D3B39">
        <w:rPr>
          <w:rFonts w:ascii="Arial" w:hAnsi="Arial" w:cs="Arial"/>
        </w:rPr>
        <w:t xml:space="preserve"> de trabajo</w:t>
      </w:r>
      <w:r w:rsidRPr="003D3B39">
        <w:rPr>
          <w:rFonts w:ascii="Arial" w:hAnsi="Arial" w:cs="Arial"/>
        </w:rPr>
        <w:t xml:space="preserve"> que</w:t>
      </w:r>
      <w:r w:rsidR="00CF3B43" w:rsidRPr="003D3B39">
        <w:rPr>
          <w:rFonts w:ascii="Arial" w:hAnsi="Arial" w:cs="Arial"/>
        </w:rPr>
        <w:t xml:space="preserve"> les</w:t>
      </w:r>
      <w:r w:rsidRPr="003D3B39">
        <w:rPr>
          <w:rFonts w:ascii="Arial" w:hAnsi="Arial" w:cs="Arial"/>
        </w:rPr>
        <w:t xml:space="preserve"> permitirá mejorar para alcanzar la sostenibilidad (2).</w:t>
      </w:r>
    </w:p>
    <w:p w14:paraId="1A4E327D" w14:textId="1857F760" w:rsidR="007D7143" w:rsidRPr="003D3B39" w:rsidRDefault="007D7143" w:rsidP="00332FD6">
      <w:pPr>
        <w:jc w:val="both"/>
        <w:rPr>
          <w:rFonts w:ascii="Arial" w:hAnsi="Arial" w:cs="Arial"/>
        </w:rPr>
      </w:pPr>
      <w:r w:rsidRPr="003D3B39">
        <w:rPr>
          <w:rFonts w:ascii="Arial" w:hAnsi="Arial" w:cs="Arial"/>
        </w:rPr>
        <w:t xml:space="preserve">Con objeto de facilitar la puesta en marcha del programa Pathway en el Mediterráneo, en 2020 se creó </w:t>
      </w:r>
      <w:r w:rsidRPr="003D3B39">
        <w:rPr>
          <w:rFonts w:ascii="Arial" w:hAnsi="Arial" w:cs="Arial"/>
          <w:b/>
        </w:rPr>
        <w:t>MedPath</w:t>
      </w:r>
      <w:r w:rsidRPr="003D3B39">
        <w:rPr>
          <w:rFonts w:ascii="Arial" w:hAnsi="Arial" w:cs="Arial"/>
        </w:rPr>
        <w:t xml:space="preserve"> a fin de mejorar la coordinación entre las distintas iniciativas de MSC Pathway de la región. En MedPath</w:t>
      </w:r>
      <w:r w:rsidR="00125D17">
        <w:rPr>
          <w:rFonts w:ascii="Arial" w:hAnsi="Arial" w:cs="Arial"/>
        </w:rPr>
        <w:t>,</w:t>
      </w:r>
      <w:r w:rsidRPr="003D3B39">
        <w:rPr>
          <w:rFonts w:ascii="Arial" w:hAnsi="Arial" w:cs="Arial"/>
        </w:rPr>
        <w:t xml:space="preserve"> se incluyen los proyectos siguientes: </w:t>
      </w:r>
      <w:r w:rsidRPr="003D3B39">
        <w:rPr>
          <w:rFonts w:ascii="Arial" w:hAnsi="Arial" w:cs="Arial"/>
          <w:b/>
        </w:rPr>
        <w:t>Medfish en España y Francia</w:t>
      </w:r>
      <w:r w:rsidRPr="003D3B39">
        <w:rPr>
          <w:rFonts w:ascii="Arial" w:hAnsi="Arial" w:cs="Arial"/>
        </w:rPr>
        <w:t xml:space="preserve">, </w:t>
      </w:r>
      <w:r w:rsidRPr="003D3B39">
        <w:rPr>
          <w:rFonts w:ascii="Arial" w:hAnsi="Arial" w:cs="Arial"/>
          <w:b/>
        </w:rPr>
        <w:t>BluFish en Italia</w:t>
      </w:r>
      <w:r w:rsidRPr="003D3B39">
        <w:rPr>
          <w:rFonts w:ascii="Arial" w:hAnsi="Arial" w:cs="Arial"/>
        </w:rPr>
        <w:t xml:space="preserve"> y </w:t>
      </w:r>
      <w:r w:rsidRPr="003D3B39">
        <w:rPr>
          <w:rFonts w:ascii="Arial" w:hAnsi="Arial" w:cs="Arial"/>
          <w:b/>
        </w:rPr>
        <w:t>HellasFish en Grecia</w:t>
      </w:r>
      <w:r w:rsidRPr="003D3B39">
        <w:rPr>
          <w:rFonts w:ascii="Arial" w:hAnsi="Arial" w:cs="Arial"/>
        </w:rPr>
        <w:t xml:space="preserve">. El objetivo de MedPath es </w:t>
      </w:r>
      <w:r w:rsidR="00CF3B43" w:rsidRPr="003D3B39">
        <w:rPr>
          <w:rFonts w:ascii="Arial" w:hAnsi="Arial" w:cs="Arial"/>
        </w:rPr>
        <w:t>apoyar</w:t>
      </w:r>
      <w:r w:rsidRPr="003D3B39">
        <w:rPr>
          <w:rFonts w:ascii="Arial" w:hAnsi="Arial" w:cs="Arial"/>
        </w:rPr>
        <w:t xml:space="preserve"> a las pesquerías en su transición hacia la sostenibilidad, aprovechando </w:t>
      </w:r>
      <w:r w:rsidR="00CF3B43" w:rsidRPr="003D3B39">
        <w:rPr>
          <w:rFonts w:ascii="Arial" w:hAnsi="Arial" w:cs="Arial"/>
        </w:rPr>
        <w:t xml:space="preserve">para ello </w:t>
      </w:r>
      <w:r w:rsidRPr="003D3B39">
        <w:rPr>
          <w:rFonts w:ascii="Arial" w:hAnsi="Arial" w:cs="Arial"/>
        </w:rPr>
        <w:t>el compromiso de las distintas partes interesadas a escala nacional y regional.</w:t>
      </w:r>
    </w:p>
    <w:p w14:paraId="44F39883" w14:textId="1CD4A93D" w:rsidR="007D7143" w:rsidRPr="003D3B39" w:rsidRDefault="007D7143" w:rsidP="00332FD6">
      <w:pPr>
        <w:jc w:val="both"/>
        <w:rPr>
          <w:rFonts w:ascii="Arial" w:hAnsi="Arial" w:cs="Arial"/>
        </w:rPr>
      </w:pPr>
      <w:r w:rsidRPr="003D3B39">
        <w:rPr>
          <w:rFonts w:ascii="Arial" w:hAnsi="Arial" w:cs="Arial"/>
        </w:rPr>
        <w:t xml:space="preserve">A través de MedPath </w:t>
      </w:r>
      <w:r w:rsidRPr="003D3B39">
        <w:rPr>
          <w:rFonts w:ascii="Arial" w:hAnsi="Arial" w:cs="Arial"/>
          <w:b/>
        </w:rPr>
        <w:t xml:space="preserve">se </w:t>
      </w:r>
      <w:r w:rsidR="00CF3B43" w:rsidRPr="003D3B39">
        <w:rPr>
          <w:rFonts w:ascii="Arial" w:hAnsi="Arial" w:cs="Arial"/>
          <w:b/>
        </w:rPr>
        <w:t>han identificado</w:t>
      </w:r>
      <w:r w:rsidRPr="003D3B39">
        <w:rPr>
          <w:rFonts w:ascii="Arial" w:hAnsi="Arial" w:cs="Arial"/>
          <w:b/>
        </w:rPr>
        <w:t xml:space="preserve"> 5 175 pesquerías</w:t>
      </w:r>
      <w:r w:rsidRPr="003D3B39">
        <w:rPr>
          <w:rFonts w:ascii="Arial" w:hAnsi="Arial" w:cs="Arial"/>
        </w:rPr>
        <w:t xml:space="preserve"> en la región, </w:t>
      </w:r>
      <w:r w:rsidRPr="003D3B39">
        <w:rPr>
          <w:rFonts w:ascii="Arial" w:hAnsi="Arial" w:cs="Arial"/>
          <w:b/>
        </w:rPr>
        <w:t xml:space="preserve">de las cuales se </w:t>
      </w:r>
      <w:r w:rsidR="00125D17">
        <w:rPr>
          <w:rFonts w:ascii="Arial" w:hAnsi="Arial" w:cs="Arial"/>
          <w:b/>
        </w:rPr>
        <w:t xml:space="preserve">han analizado </w:t>
      </w:r>
      <w:r w:rsidRPr="003D3B39">
        <w:rPr>
          <w:rFonts w:ascii="Arial" w:hAnsi="Arial" w:cs="Arial"/>
          <w:b/>
        </w:rPr>
        <w:t>152</w:t>
      </w:r>
      <w:r w:rsidRPr="003D3B39">
        <w:rPr>
          <w:rFonts w:ascii="Arial" w:hAnsi="Arial" w:cs="Arial"/>
        </w:rPr>
        <w:t>.</w:t>
      </w:r>
      <w:r w:rsidRPr="003D3B39">
        <w:rPr>
          <w:rFonts w:ascii="Arial" w:hAnsi="Arial" w:cs="Arial"/>
          <w:b/>
        </w:rPr>
        <w:t xml:space="preserve"> De estas, 34 se preevaluaron conforme al Estándar de Pesquerías de MSC a fin de identificar </w:t>
      </w:r>
      <w:r w:rsidR="00CF3B43" w:rsidRPr="003D3B39">
        <w:rPr>
          <w:rFonts w:ascii="Arial" w:hAnsi="Arial" w:cs="Arial"/>
          <w:b/>
        </w:rPr>
        <w:t>qué</w:t>
      </w:r>
      <w:r w:rsidRPr="003D3B39">
        <w:rPr>
          <w:rFonts w:ascii="Arial" w:hAnsi="Arial" w:cs="Arial"/>
          <w:b/>
        </w:rPr>
        <w:t xml:space="preserve"> áreas debían mejorar</w:t>
      </w:r>
      <w:r w:rsidR="001315EE" w:rsidRPr="003D3B39">
        <w:rPr>
          <w:rFonts w:ascii="Arial" w:hAnsi="Arial" w:cs="Arial"/>
          <w:b/>
        </w:rPr>
        <w:t xml:space="preserve"> y </w:t>
      </w:r>
      <w:r w:rsidR="0030415D" w:rsidRPr="003D3B39">
        <w:rPr>
          <w:rFonts w:ascii="Arial" w:hAnsi="Arial" w:cs="Arial"/>
          <w:b/>
        </w:rPr>
        <w:t xml:space="preserve">se </w:t>
      </w:r>
      <w:r w:rsidR="0030415D">
        <w:rPr>
          <w:rFonts w:ascii="Arial" w:hAnsi="Arial" w:cs="Arial"/>
          <w:b/>
        </w:rPr>
        <w:t xml:space="preserve">han elaborado </w:t>
      </w:r>
      <w:r w:rsidR="0030415D" w:rsidRPr="003D3B39">
        <w:rPr>
          <w:rFonts w:ascii="Arial" w:hAnsi="Arial" w:cs="Arial"/>
          <w:b/>
        </w:rPr>
        <w:t>planes de acción a medida</w:t>
      </w:r>
      <w:r w:rsidR="0030415D" w:rsidRPr="003D3B39">
        <w:rPr>
          <w:rFonts w:ascii="Arial" w:hAnsi="Arial" w:cs="Arial"/>
        </w:rPr>
        <w:t xml:space="preserve"> </w:t>
      </w:r>
      <w:r w:rsidR="001315EE" w:rsidRPr="003D3B39">
        <w:rPr>
          <w:rFonts w:ascii="Arial" w:hAnsi="Arial" w:cs="Arial"/>
          <w:b/>
        </w:rPr>
        <w:t>p</w:t>
      </w:r>
      <w:r w:rsidRPr="003D3B39">
        <w:rPr>
          <w:rFonts w:ascii="Arial" w:hAnsi="Arial" w:cs="Arial"/>
          <w:b/>
        </w:rPr>
        <w:t>ara 29 de ellas</w:t>
      </w:r>
      <w:r w:rsidR="0030415D">
        <w:rPr>
          <w:rFonts w:ascii="Arial" w:hAnsi="Arial" w:cs="Arial"/>
          <w:b/>
        </w:rPr>
        <w:t>,</w:t>
      </w:r>
      <w:r w:rsidRPr="003D3B39">
        <w:rPr>
          <w:rFonts w:ascii="Arial" w:hAnsi="Arial" w:cs="Arial"/>
          <w:b/>
        </w:rPr>
        <w:t xml:space="preserve"> </w:t>
      </w:r>
      <w:r w:rsidRPr="003D3B39">
        <w:rPr>
          <w:rFonts w:ascii="Arial" w:hAnsi="Arial" w:cs="Arial"/>
        </w:rPr>
        <w:t xml:space="preserve">con </w:t>
      </w:r>
      <w:r w:rsidR="0030415D">
        <w:rPr>
          <w:rFonts w:ascii="Arial" w:hAnsi="Arial" w:cs="Arial"/>
        </w:rPr>
        <w:t xml:space="preserve">el objetivo </w:t>
      </w:r>
      <w:r w:rsidRPr="003D3B39">
        <w:rPr>
          <w:rFonts w:ascii="Arial" w:hAnsi="Arial" w:cs="Arial"/>
        </w:rPr>
        <w:t xml:space="preserve">de abordar las carencias que se detectaron en las preevaluaciones. </w:t>
      </w:r>
      <w:r w:rsidR="001315EE" w:rsidRPr="003D3B39">
        <w:rPr>
          <w:rFonts w:ascii="Arial" w:hAnsi="Arial" w:cs="Arial"/>
        </w:rPr>
        <w:t>Todo ello</w:t>
      </w:r>
      <w:r w:rsidRPr="003D3B39">
        <w:rPr>
          <w:rFonts w:ascii="Arial" w:hAnsi="Arial" w:cs="Arial"/>
        </w:rPr>
        <w:t xml:space="preserve"> </w:t>
      </w:r>
      <w:r w:rsidR="00CF3B43" w:rsidRPr="003D3B39">
        <w:rPr>
          <w:rFonts w:ascii="Arial" w:hAnsi="Arial" w:cs="Arial"/>
        </w:rPr>
        <w:t>ha llevado</w:t>
      </w:r>
      <w:r w:rsidRPr="003D3B39">
        <w:rPr>
          <w:rFonts w:ascii="Arial" w:hAnsi="Arial" w:cs="Arial"/>
        </w:rPr>
        <w:t xml:space="preserve"> a la </w:t>
      </w:r>
      <w:r w:rsidRPr="003D3B39">
        <w:rPr>
          <w:rFonts w:ascii="Arial" w:hAnsi="Arial" w:cs="Arial"/>
          <w:b/>
        </w:rPr>
        <w:t>puesta en marcha de 47 medidas específicas</w:t>
      </w:r>
      <w:r w:rsidRPr="003D3B39">
        <w:rPr>
          <w:rFonts w:ascii="Arial" w:hAnsi="Arial" w:cs="Arial"/>
        </w:rPr>
        <w:t xml:space="preserve"> destinadas a incrementar la sostenibilidad de las prácticas pesqueras. </w:t>
      </w:r>
      <w:r w:rsidR="00CF3B43" w:rsidRPr="003D3B39">
        <w:rPr>
          <w:rFonts w:ascii="Arial" w:hAnsi="Arial" w:cs="Arial"/>
        </w:rPr>
        <w:t>Entre d</w:t>
      </w:r>
      <w:r w:rsidRPr="003D3B39">
        <w:rPr>
          <w:rFonts w:ascii="Arial" w:hAnsi="Arial" w:cs="Arial"/>
        </w:rPr>
        <w:t xml:space="preserve">ichas medidas </w:t>
      </w:r>
      <w:r w:rsidR="00CF3B43" w:rsidRPr="003D3B39">
        <w:rPr>
          <w:rFonts w:ascii="Arial" w:hAnsi="Arial" w:cs="Arial"/>
        </w:rPr>
        <w:t>están</w:t>
      </w:r>
      <w:r w:rsidRPr="003D3B39">
        <w:rPr>
          <w:rFonts w:ascii="Arial" w:hAnsi="Arial" w:cs="Arial"/>
        </w:rPr>
        <w:t>:</w:t>
      </w:r>
    </w:p>
    <w:p w14:paraId="502EAEC8" w14:textId="6AD309DA" w:rsidR="007D7143" w:rsidRPr="003D3B39" w:rsidRDefault="007D7143" w:rsidP="00332FD6">
      <w:pPr>
        <w:pStyle w:val="ListParagraph"/>
        <w:numPr>
          <w:ilvl w:val="0"/>
          <w:numId w:val="4"/>
        </w:numPr>
        <w:spacing w:after="0"/>
        <w:jc w:val="both"/>
        <w:rPr>
          <w:rFonts w:ascii="Arial" w:hAnsi="Arial" w:cs="Arial"/>
        </w:rPr>
      </w:pPr>
      <w:r w:rsidRPr="003D3B39">
        <w:rPr>
          <w:rFonts w:ascii="Arial" w:hAnsi="Arial" w:cs="Arial"/>
          <w:b/>
        </w:rPr>
        <w:t>En España:</w:t>
      </w:r>
      <w:r w:rsidRPr="003D3B39">
        <w:rPr>
          <w:rFonts w:ascii="Arial" w:hAnsi="Arial" w:cs="Arial"/>
          <w:color w:val="000000"/>
          <w:shd w:val="clear" w:color="auto" w:fill="FFFFFF"/>
        </w:rPr>
        <w:t xml:space="preserve"> </w:t>
      </w:r>
      <w:r w:rsidR="0030415D">
        <w:rPr>
          <w:rFonts w:ascii="Arial" w:hAnsi="Arial" w:cs="Arial"/>
          <w:color w:val="000000"/>
          <w:shd w:val="clear" w:color="auto" w:fill="FFFFFF"/>
        </w:rPr>
        <w:t>d</w:t>
      </w:r>
      <w:r w:rsidRPr="003D3B39">
        <w:rPr>
          <w:rFonts w:ascii="Arial" w:hAnsi="Arial" w:cs="Arial"/>
        </w:rPr>
        <w:t>esarrollo de</w:t>
      </w:r>
      <w:r w:rsidRPr="003D3B39">
        <w:rPr>
          <w:rFonts w:ascii="Arial" w:hAnsi="Arial" w:cs="Arial"/>
          <w:color w:val="000000"/>
          <w:shd w:val="clear" w:color="auto" w:fill="FFFFFF"/>
        </w:rPr>
        <w:t xml:space="preserve"> </w:t>
      </w:r>
      <w:r w:rsidRPr="003D3B39">
        <w:rPr>
          <w:rFonts w:ascii="Arial" w:hAnsi="Arial" w:cs="Arial"/>
          <w:b/>
        </w:rPr>
        <w:t>la herramienta informática DatAlborán</w:t>
      </w:r>
      <w:r w:rsidRPr="003D3B39">
        <w:rPr>
          <w:rFonts w:ascii="Arial" w:hAnsi="Arial" w:cs="Arial"/>
          <w:color w:val="000000"/>
          <w:shd w:val="clear" w:color="auto" w:fill="FFFFFF"/>
        </w:rPr>
        <w:t xml:space="preserve">, </w:t>
      </w:r>
      <w:r w:rsidRPr="003D3B39">
        <w:rPr>
          <w:rFonts w:ascii="Arial" w:hAnsi="Arial" w:cs="Arial"/>
        </w:rPr>
        <w:t>como resultado del esfuerzo conjunto de pescadores, ONG y científicos por mejorar las labores de recopilación y análisis de datos de las pesquerías y poblaciones de peces al norte del mar de Alborán.</w:t>
      </w:r>
    </w:p>
    <w:p w14:paraId="29F41CA7" w14:textId="216A447C" w:rsidR="007D7143" w:rsidRPr="003D3B39" w:rsidRDefault="007D7143" w:rsidP="00332FD6">
      <w:pPr>
        <w:pStyle w:val="ListParagraph"/>
        <w:numPr>
          <w:ilvl w:val="0"/>
          <w:numId w:val="4"/>
        </w:numPr>
        <w:spacing w:after="0"/>
        <w:jc w:val="both"/>
        <w:rPr>
          <w:rFonts w:ascii="Arial" w:hAnsi="Arial" w:cs="Arial"/>
        </w:rPr>
      </w:pPr>
      <w:r w:rsidRPr="003D3B39">
        <w:rPr>
          <w:rFonts w:ascii="Arial" w:hAnsi="Arial" w:cs="Arial"/>
          <w:b/>
        </w:rPr>
        <w:t>En Francia</w:t>
      </w:r>
      <w:r w:rsidRPr="003D3B39">
        <w:rPr>
          <w:rFonts w:ascii="Arial" w:hAnsi="Arial" w:cs="Arial"/>
        </w:rPr>
        <w:t xml:space="preserve">: </w:t>
      </w:r>
      <w:r w:rsidR="0030415D">
        <w:rPr>
          <w:rFonts w:ascii="Arial" w:hAnsi="Arial" w:cs="Arial"/>
        </w:rPr>
        <w:t>c</w:t>
      </w:r>
      <w:r w:rsidRPr="003D3B39">
        <w:rPr>
          <w:rFonts w:ascii="Arial" w:hAnsi="Arial" w:cs="Arial"/>
        </w:rPr>
        <w:t xml:space="preserve">ontribución a la elaboración de nuevas </w:t>
      </w:r>
      <w:r w:rsidRPr="003D3B39">
        <w:rPr>
          <w:rFonts w:ascii="Arial" w:hAnsi="Arial" w:cs="Arial"/>
          <w:b/>
        </w:rPr>
        <w:t xml:space="preserve">normativas de pesca para la pesquería de dentón de Córcega y la de erizo de mar del </w:t>
      </w:r>
      <w:r w:rsidR="00CF3B43" w:rsidRPr="003D3B39">
        <w:rPr>
          <w:rFonts w:ascii="Arial" w:hAnsi="Arial" w:cs="Arial"/>
          <w:b/>
        </w:rPr>
        <w:t>g</w:t>
      </w:r>
      <w:r w:rsidRPr="003D3B39">
        <w:rPr>
          <w:rFonts w:ascii="Arial" w:hAnsi="Arial" w:cs="Arial"/>
          <w:b/>
        </w:rPr>
        <w:t>olfo de León.</w:t>
      </w:r>
    </w:p>
    <w:p w14:paraId="14FBFF06" w14:textId="07474D0E" w:rsidR="007D7143" w:rsidRPr="00A61688" w:rsidRDefault="007D7143" w:rsidP="00332FD6">
      <w:pPr>
        <w:pStyle w:val="ListParagraph"/>
        <w:numPr>
          <w:ilvl w:val="0"/>
          <w:numId w:val="4"/>
        </w:numPr>
        <w:spacing w:after="0"/>
        <w:jc w:val="both"/>
        <w:rPr>
          <w:rFonts w:ascii="Arial" w:hAnsi="Arial" w:cs="Arial"/>
          <w:b/>
          <w:bCs/>
        </w:rPr>
      </w:pPr>
      <w:r w:rsidRPr="003D3B39">
        <w:rPr>
          <w:rFonts w:ascii="Arial" w:hAnsi="Arial" w:cs="Arial"/>
          <w:b/>
        </w:rPr>
        <w:t>En Italia</w:t>
      </w:r>
      <w:r w:rsidRPr="003D3B39">
        <w:rPr>
          <w:rFonts w:ascii="Arial" w:hAnsi="Arial" w:cs="Arial"/>
        </w:rPr>
        <w:t xml:space="preserve">: </w:t>
      </w:r>
      <w:r w:rsidR="0030415D">
        <w:rPr>
          <w:rFonts w:ascii="Arial" w:hAnsi="Arial" w:cs="Arial"/>
        </w:rPr>
        <w:t>d</w:t>
      </w:r>
      <w:r w:rsidRPr="003D3B39">
        <w:rPr>
          <w:rFonts w:ascii="Arial" w:hAnsi="Arial" w:cs="Arial"/>
        </w:rPr>
        <w:t xml:space="preserve">esarrollo de una </w:t>
      </w:r>
      <w:r w:rsidRPr="003D3B39">
        <w:rPr>
          <w:rFonts w:ascii="Arial" w:hAnsi="Arial" w:cs="Arial"/>
          <w:b/>
        </w:rPr>
        <w:t>metodología</w:t>
      </w:r>
      <w:r w:rsidRPr="003D3B39">
        <w:rPr>
          <w:rFonts w:ascii="Arial" w:hAnsi="Arial" w:cs="Arial"/>
        </w:rPr>
        <w:t xml:space="preserve"> que permita evaluar las poblaciones de </w:t>
      </w:r>
      <w:r w:rsidRPr="00A61688">
        <w:rPr>
          <w:rFonts w:ascii="Arial" w:hAnsi="Arial" w:cs="Arial"/>
          <w:b/>
          <w:bCs/>
        </w:rPr>
        <w:t>pulpo común.</w:t>
      </w:r>
    </w:p>
    <w:p w14:paraId="2273402E" w14:textId="6D3AB287" w:rsidR="007D7143" w:rsidRPr="003D3B39" w:rsidRDefault="007D7143" w:rsidP="001922D5">
      <w:pPr>
        <w:pStyle w:val="ListParagraph"/>
        <w:numPr>
          <w:ilvl w:val="0"/>
          <w:numId w:val="4"/>
        </w:numPr>
        <w:jc w:val="both"/>
        <w:rPr>
          <w:rFonts w:ascii="Arial" w:hAnsi="Arial" w:cs="Arial"/>
        </w:rPr>
      </w:pPr>
      <w:r w:rsidRPr="003D3B39">
        <w:rPr>
          <w:rFonts w:ascii="Arial" w:hAnsi="Arial" w:cs="Arial"/>
          <w:b/>
        </w:rPr>
        <w:t>En el norte de Grecia</w:t>
      </w:r>
      <w:r w:rsidRPr="003D3B39">
        <w:rPr>
          <w:rFonts w:ascii="Arial" w:hAnsi="Arial" w:cs="Arial"/>
        </w:rPr>
        <w:t xml:space="preserve">: </w:t>
      </w:r>
      <w:r w:rsidR="0030415D" w:rsidRPr="00A61688">
        <w:rPr>
          <w:rFonts w:ascii="Arial" w:hAnsi="Arial" w:cs="Arial"/>
          <w:b/>
          <w:bCs/>
        </w:rPr>
        <w:t>m</w:t>
      </w:r>
      <w:r w:rsidRPr="00A61688">
        <w:rPr>
          <w:rFonts w:ascii="Arial" w:hAnsi="Arial" w:cs="Arial"/>
          <w:b/>
          <w:bCs/>
        </w:rPr>
        <w:t>ejoras en la recopilación de datos</w:t>
      </w:r>
      <w:r w:rsidRPr="003D3B39">
        <w:rPr>
          <w:rFonts w:ascii="Arial" w:hAnsi="Arial" w:cs="Arial"/>
        </w:rPr>
        <w:t xml:space="preserve"> para subsanar </w:t>
      </w:r>
      <w:r w:rsidR="00CF3B43" w:rsidRPr="003D3B39">
        <w:rPr>
          <w:rFonts w:ascii="Arial" w:hAnsi="Arial" w:cs="Arial"/>
        </w:rPr>
        <w:t xml:space="preserve">las </w:t>
      </w:r>
      <w:r w:rsidRPr="003D3B39">
        <w:rPr>
          <w:rFonts w:ascii="Arial" w:hAnsi="Arial" w:cs="Arial"/>
        </w:rPr>
        <w:t xml:space="preserve">deficiencias y la falta de información efectuando observaciones y grabaciones de vídeo </w:t>
      </w:r>
      <w:r w:rsidRPr="003D3B39">
        <w:rPr>
          <w:rFonts w:ascii="Arial" w:hAnsi="Arial" w:cs="Arial"/>
        </w:rPr>
        <w:lastRenderedPageBreak/>
        <w:t xml:space="preserve">submarinas </w:t>
      </w:r>
      <w:r w:rsidR="00CF3B43" w:rsidRPr="003D3B39">
        <w:rPr>
          <w:rFonts w:ascii="Arial" w:hAnsi="Arial" w:cs="Arial"/>
        </w:rPr>
        <w:t xml:space="preserve">a bordo de los barcos pulperos </w:t>
      </w:r>
      <w:r w:rsidRPr="003D3B39">
        <w:rPr>
          <w:rFonts w:ascii="Arial" w:hAnsi="Arial" w:cs="Arial"/>
        </w:rPr>
        <w:t xml:space="preserve">para </w:t>
      </w:r>
      <w:r w:rsidR="00CF3B43" w:rsidRPr="003D3B39">
        <w:rPr>
          <w:rFonts w:ascii="Arial" w:hAnsi="Arial" w:cs="Arial"/>
        </w:rPr>
        <w:t>controlar</w:t>
      </w:r>
      <w:r w:rsidRPr="003D3B39">
        <w:rPr>
          <w:rFonts w:ascii="Arial" w:hAnsi="Arial" w:cs="Arial"/>
        </w:rPr>
        <w:t xml:space="preserve"> las posibles interacciones de los artes de pesca con otras especies y hábitats.</w:t>
      </w:r>
    </w:p>
    <w:p w14:paraId="2673D2EB" w14:textId="77777777" w:rsidR="007D7143" w:rsidRPr="00991D9E" w:rsidRDefault="007D7143" w:rsidP="00EC7A24">
      <w:pPr>
        <w:spacing w:after="0"/>
        <w:jc w:val="both"/>
        <w:rPr>
          <w:rFonts w:ascii="Arial" w:hAnsi="Arial" w:cs="Arial"/>
          <w:b/>
          <w:bCs/>
          <w:color w:val="467886"/>
          <w:sz w:val="26"/>
          <w:szCs w:val="26"/>
        </w:rPr>
      </w:pPr>
      <w:r w:rsidRPr="00991D9E">
        <w:rPr>
          <w:rFonts w:ascii="Arial" w:hAnsi="Arial" w:cs="Arial"/>
          <w:b/>
          <w:color w:val="467886"/>
          <w:sz w:val="26"/>
          <w:szCs w:val="26"/>
        </w:rPr>
        <w:t>MedPath en España: el proyecto Medfish</w:t>
      </w:r>
    </w:p>
    <w:p w14:paraId="446F36DF" w14:textId="593988E5" w:rsidR="007D7143" w:rsidRPr="003D3B39" w:rsidRDefault="007D7143" w:rsidP="00332FD6">
      <w:pPr>
        <w:jc w:val="both"/>
        <w:rPr>
          <w:rFonts w:ascii="Arial" w:hAnsi="Arial" w:cs="Arial"/>
        </w:rPr>
      </w:pPr>
      <w:r w:rsidRPr="003D3B39">
        <w:rPr>
          <w:rFonts w:ascii="Arial" w:hAnsi="Arial" w:cs="Arial"/>
        </w:rPr>
        <w:t>WWF y Marine Stewardship Council (MSC) pusieron en marcha conjuntamente el Proyecto Med</w:t>
      </w:r>
      <w:r w:rsidR="0030415D">
        <w:rPr>
          <w:rFonts w:ascii="Arial" w:hAnsi="Arial" w:cs="Arial"/>
        </w:rPr>
        <w:t>f</w:t>
      </w:r>
      <w:r w:rsidRPr="003D3B39">
        <w:rPr>
          <w:rFonts w:ascii="Arial" w:hAnsi="Arial" w:cs="Arial"/>
        </w:rPr>
        <w:t xml:space="preserve">ish en 2015 para llevar a cabo un análisis exhaustivo y riguroso de las pesquerías francesas y españolas del Mediterráneo, usando para ello el Estándar de Pesquerías de MSC como referente de sostenibilidad. Este proyecto forma parte del compromiso de MSC y WWF con la sostenibilidad de las pesquerías del </w:t>
      </w:r>
      <w:r w:rsidR="00370C22">
        <w:rPr>
          <w:rFonts w:ascii="Arial" w:hAnsi="Arial" w:cs="Arial"/>
        </w:rPr>
        <w:t>m</w:t>
      </w:r>
      <w:r w:rsidRPr="003D3B39">
        <w:rPr>
          <w:rFonts w:ascii="Arial" w:hAnsi="Arial" w:cs="Arial"/>
        </w:rPr>
        <w:t xml:space="preserve">ar Mediterráneo y, por tanto, pretende ser una fuente de inspiración para iniciativas similares en otros países de la región. El proyecto analizó </w:t>
      </w:r>
      <w:r w:rsidR="00A21130" w:rsidRPr="003D3B39">
        <w:rPr>
          <w:rFonts w:ascii="Arial" w:hAnsi="Arial" w:cs="Arial"/>
        </w:rPr>
        <w:t xml:space="preserve">primero </w:t>
      </w:r>
      <w:r w:rsidRPr="003D3B39">
        <w:rPr>
          <w:rFonts w:ascii="Arial" w:hAnsi="Arial" w:cs="Arial"/>
        </w:rPr>
        <w:t xml:space="preserve">a 100 pesquerías de España y Francia. Asimismo, entre ambos países, se evaluaron </w:t>
      </w:r>
      <w:r w:rsidR="00370C22">
        <w:rPr>
          <w:rFonts w:ascii="Arial" w:hAnsi="Arial" w:cs="Arial"/>
        </w:rPr>
        <w:t>19</w:t>
      </w:r>
      <w:r w:rsidRPr="003D3B39">
        <w:rPr>
          <w:rFonts w:ascii="Arial" w:hAnsi="Arial" w:cs="Arial"/>
        </w:rPr>
        <w:t xml:space="preserve"> pesquerías </w:t>
      </w:r>
      <w:r w:rsidR="003E1A6D" w:rsidRPr="003D3B39">
        <w:rPr>
          <w:rFonts w:ascii="Arial" w:hAnsi="Arial" w:cs="Arial"/>
        </w:rPr>
        <w:t>conforme a</w:t>
      </w:r>
      <w:r w:rsidRPr="003D3B39">
        <w:rPr>
          <w:rFonts w:ascii="Arial" w:hAnsi="Arial" w:cs="Arial"/>
        </w:rPr>
        <w:t xml:space="preserve">l Estándar de MSC para la pesca sostenible a fin de </w:t>
      </w:r>
      <w:r w:rsidR="00A21130" w:rsidRPr="003D3B39">
        <w:rPr>
          <w:rFonts w:ascii="Arial" w:hAnsi="Arial" w:cs="Arial"/>
        </w:rPr>
        <w:t>señalar</w:t>
      </w:r>
      <w:r w:rsidRPr="003D3B39">
        <w:rPr>
          <w:rFonts w:ascii="Arial" w:hAnsi="Arial" w:cs="Arial"/>
        </w:rPr>
        <w:t xml:space="preserve"> las posibles áreas </w:t>
      </w:r>
      <w:r w:rsidR="003E1A6D" w:rsidRPr="003D3B39">
        <w:rPr>
          <w:rFonts w:ascii="Arial" w:hAnsi="Arial" w:cs="Arial"/>
        </w:rPr>
        <w:t>que debían</w:t>
      </w:r>
      <w:r w:rsidRPr="003D3B39">
        <w:rPr>
          <w:rFonts w:ascii="Arial" w:hAnsi="Arial" w:cs="Arial"/>
        </w:rPr>
        <w:t xml:space="preserve"> mejorar. Seguidamente se elaboraron unos planes de acción para </w:t>
      </w:r>
      <w:r w:rsidR="003E1A6D" w:rsidRPr="003D3B39">
        <w:rPr>
          <w:rFonts w:ascii="Arial" w:hAnsi="Arial" w:cs="Arial"/>
        </w:rPr>
        <w:t>atajar</w:t>
      </w:r>
      <w:r w:rsidRPr="003D3B39">
        <w:rPr>
          <w:rFonts w:ascii="Arial" w:hAnsi="Arial" w:cs="Arial"/>
        </w:rPr>
        <w:t xml:space="preserve"> las deficiencias encontradas y, actualmente, los colaboradores del proyecto </w:t>
      </w:r>
      <w:r w:rsidR="003E1A6D" w:rsidRPr="003D3B39">
        <w:rPr>
          <w:rFonts w:ascii="Arial" w:hAnsi="Arial" w:cs="Arial"/>
        </w:rPr>
        <w:t>ayudan</w:t>
      </w:r>
      <w:r w:rsidRPr="003D3B39">
        <w:rPr>
          <w:rFonts w:ascii="Arial" w:hAnsi="Arial" w:cs="Arial"/>
        </w:rPr>
        <w:t xml:space="preserve"> a las pesquerías que están interesadas en aplicar dichos planes de mejora. </w:t>
      </w:r>
    </w:p>
    <w:p w14:paraId="7998D702" w14:textId="15E452C3" w:rsidR="007D7143" w:rsidRPr="003D3B39" w:rsidRDefault="007D7143" w:rsidP="00332FD6">
      <w:pPr>
        <w:jc w:val="both"/>
        <w:rPr>
          <w:rFonts w:ascii="Arial" w:hAnsi="Arial" w:cs="Arial"/>
        </w:rPr>
      </w:pPr>
      <w:r w:rsidRPr="003D3B39">
        <w:rPr>
          <w:rFonts w:ascii="Arial" w:hAnsi="Arial" w:cs="Arial"/>
        </w:rPr>
        <w:t xml:space="preserve">De momento, </w:t>
      </w:r>
      <w:r w:rsidR="003E1A6D" w:rsidRPr="003D3B39">
        <w:rPr>
          <w:rFonts w:ascii="Arial" w:hAnsi="Arial" w:cs="Arial"/>
        </w:rPr>
        <w:t xml:space="preserve">tanto </w:t>
      </w:r>
      <w:r w:rsidRPr="003D3B39">
        <w:rPr>
          <w:rFonts w:ascii="Arial" w:hAnsi="Arial" w:cs="Arial"/>
        </w:rPr>
        <w:t xml:space="preserve">las organizaciones de pescadores y productores, las autoridades administrativas nacionales y regionales, los principales organismos de investigación, como las ONG locales, </w:t>
      </w:r>
      <w:r w:rsidR="003E1A6D" w:rsidRPr="003D3B39">
        <w:rPr>
          <w:rFonts w:ascii="Arial" w:hAnsi="Arial" w:cs="Arial"/>
        </w:rPr>
        <w:t>está</w:t>
      </w:r>
      <w:r w:rsidRPr="003D3B39">
        <w:rPr>
          <w:rFonts w:ascii="Arial" w:hAnsi="Arial" w:cs="Arial"/>
        </w:rPr>
        <w:t>n colaborando en la aplicación de seis planes de acción de Medfish que abordan las deficiencias en materia de sostenibilidad pesquera.</w:t>
      </w:r>
    </w:p>
    <w:p w14:paraId="777D6B4C" w14:textId="2842A9EE" w:rsidR="007D7143" w:rsidRPr="003D3B39" w:rsidRDefault="00F357DC" w:rsidP="00332FD6">
      <w:pPr>
        <w:jc w:val="both"/>
        <w:rPr>
          <w:rFonts w:ascii="Arial" w:hAnsi="Arial" w:cs="Arial"/>
          <w:b/>
          <w:bCs/>
        </w:rPr>
      </w:pPr>
      <w:hyperlink r:id="rId9" w:history="1">
        <w:r w:rsidRPr="003D3B39">
          <w:rPr>
            <w:rStyle w:val="Hyperlink"/>
            <w:rFonts w:ascii="Arial" w:hAnsi="Arial" w:cs="Arial"/>
            <w:b/>
          </w:rPr>
          <w:t>Página</w:t>
        </w:r>
        <w:r w:rsidR="003E1A6D" w:rsidRPr="003D3B39">
          <w:rPr>
            <w:rStyle w:val="Hyperlink"/>
            <w:rFonts w:ascii="Arial" w:hAnsi="Arial" w:cs="Arial"/>
            <w:b/>
          </w:rPr>
          <w:t xml:space="preserve"> web</w:t>
        </w:r>
        <w:r w:rsidRPr="003D3B39">
          <w:rPr>
            <w:rStyle w:val="Hyperlink"/>
            <w:rFonts w:ascii="Arial" w:hAnsi="Arial" w:cs="Arial"/>
            <w:b/>
          </w:rPr>
          <w:t xml:space="preserve"> del proyecto M</w:t>
        </w:r>
        <w:r w:rsidRPr="00EC7A24">
          <w:rPr>
            <w:rStyle w:val="Hyperlink"/>
            <w:rFonts w:ascii="Arial" w:hAnsi="Arial" w:cs="Arial"/>
            <w:b/>
            <w:color w:val="467886"/>
          </w:rPr>
          <w:t>edfi</w:t>
        </w:r>
        <w:r w:rsidRPr="003D3B39">
          <w:rPr>
            <w:rStyle w:val="Hyperlink"/>
            <w:rFonts w:ascii="Arial" w:hAnsi="Arial" w:cs="Arial"/>
            <w:b/>
          </w:rPr>
          <w:t>sh</w:t>
        </w:r>
      </w:hyperlink>
      <w:r w:rsidRPr="003D3B39">
        <w:rPr>
          <w:rFonts w:ascii="Arial" w:hAnsi="Arial" w:cs="Arial"/>
          <w:b/>
        </w:rPr>
        <w:t>.</w:t>
      </w:r>
    </w:p>
    <w:p w14:paraId="218A4151" w14:textId="77777777" w:rsidR="007D7143" w:rsidRPr="003D3B39" w:rsidRDefault="00F357DC" w:rsidP="00332FD6">
      <w:pPr>
        <w:jc w:val="both"/>
        <w:rPr>
          <w:rFonts w:ascii="Arial" w:hAnsi="Arial" w:cs="Arial"/>
          <w:b/>
          <w:bCs/>
        </w:rPr>
      </w:pPr>
      <w:hyperlink r:id="rId10" w:history="1">
        <w:r w:rsidRPr="003D3B39">
          <w:rPr>
            <w:rStyle w:val="Hyperlink"/>
            <w:rFonts w:ascii="Arial" w:hAnsi="Arial" w:cs="Arial"/>
            <w:b/>
          </w:rPr>
          <w:t>Base de datos de Medfish</w:t>
        </w:r>
      </w:hyperlink>
      <w:r w:rsidRPr="003D3B39">
        <w:rPr>
          <w:rFonts w:ascii="Arial" w:hAnsi="Arial" w:cs="Arial"/>
          <w:b/>
        </w:rPr>
        <w:t>.</w:t>
      </w:r>
    </w:p>
    <w:p w14:paraId="4FF879E5" w14:textId="5CDB2323" w:rsidR="007D7143" w:rsidRPr="00991D9E" w:rsidRDefault="007D7143" w:rsidP="00EC7A24">
      <w:pPr>
        <w:spacing w:after="0"/>
        <w:jc w:val="both"/>
        <w:rPr>
          <w:rFonts w:ascii="Arial" w:hAnsi="Arial" w:cs="Arial"/>
          <w:b/>
          <w:bCs/>
          <w:color w:val="467886"/>
          <w:sz w:val="26"/>
          <w:szCs w:val="26"/>
        </w:rPr>
      </w:pPr>
      <w:r w:rsidRPr="00991D9E">
        <w:rPr>
          <w:rFonts w:ascii="Arial" w:hAnsi="Arial" w:cs="Arial"/>
          <w:b/>
          <w:color w:val="467886"/>
          <w:sz w:val="26"/>
          <w:szCs w:val="26"/>
        </w:rPr>
        <w:t xml:space="preserve">MSC en la </w:t>
      </w:r>
      <w:r w:rsidR="00CF7BA8" w:rsidRPr="00CF7BA8">
        <w:rPr>
          <w:rFonts w:ascii="Arial" w:hAnsi="Arial" w:cs="Arial"/>
          <w:b/>
          <w:color w:val="467886"/>
          <w:sz w:val="26"/>
          <w:szCs w:val="26"/>
        </w:rPr>
        <w:t>Conferencia del Decenio de los Océanos 2024</w:t>
      </w:r>
      <w:r w:rsidR="00CF7BA8">
        <w:rPr>
          <w:rFonts w:ascii="Arial" w:hAnsi="Arial" w:cs="Arial"/>
          <w:b/>
          <w:color w:val="467886"/>
          <w:sz w:val="26"/>
          <w:szCs w:val="26"/>
        </w:rPr>
        <w:t xml:space="preserve"> de la ONU</w:t>
      </w:r>
    </w:p>
    <w:p w14:paraId="44999EA1" w14:textId="77777777" w:rsidR="00290344" w:rsidRDefault="003E1A6D" w:rsidP="00290344">
      <w:pPr>
        <w:jc w:val="both"/>
        <w:rPr>
          <w:rFonts w:ascii="Arial" w:hAnsi="Arial" w:cs="Arial"/>
        </w:rPr>
      </w:pPr>
      <w:r w:rsidRPr="003D3B39">
        <w:rPr>
          <w:rFonts w:ascii="Arial" w:hAnsi="Arial" w:cs="Arial"/>
        </w:rPr>
        <w:t>El próximo 9 de abril se celebrará en Barcelona e</w:t>
      </w:r>
      <w:r w:rsidR="007D7143" w:rsidRPr="003D3B39">
        <w:rPr>
          <w:rFonts w:ascii="Arial" w:hAnsi="Arial" w:cs="Arial"/>
        </w:rPr>
        <w:t xml:space="preserve">l evento satélite </w:t>
      </w:r>
      <w:hyperlink r:id="rId11" w:history="1">
        <w:r w:rsidR="007D7143" w:rsidRPr="003D3B39">
          <w:rPr>
            <w:rStyle w:val="Hyperlink"/>
            <w:rFonts w:ascii="Arial" w:hAnsi="Arial" w:cs="Arial"/>
            <w:i/>
          </w:rPr>
          <w:t xml:space="preserve">Restoring </w:t>
        </w:r>
        <w:proofErr w:type="spellStart"/>
        <w:r w:rsidR="007D7143" w:rsidRPr="003D3B39">
          <w:rPr>
            <w:rStyle w:val="Hyperlink"/>
            <w:rFonts w:ascii="Arial" w:hAnsi="Arial" w:cs="Arial"/>
            <w:i/>
          </w:rPr>
          <w:t>European</w:t>
        </w:r>
        <w:proofErr w:type="spellEnd"/>
        <w:r w:rsidR="007D7143" w:rsidRPr="003D3B39">
          <w:rPr>
            <w:rStyle w:val="Hyperlink"/>
            <w:rFonts w:ascii="Arial" w:hAnsi="Arial" w:cs="Arial"/>
            <w:i/>
          </w:rPr>
          <w:t xml:space="preserve"> seas: </w:t>
        </w:r>
        <w:proofErr w:type="spellStart"/>
        <w:r w:rsidR="007D7143" w:rsidRPr="003D3B39">
          <w:rPr>
            <w:rStyle w:val="Hyperlink"/>
            <w:rFonts w:ascii="Arial" w:hAnsi="Arial" w:cs="Arial"/>
            <w:i/>
          </w:rPr>
          <w:t>sustainable</w:t>
        </w:r>
        <w:proofErr w:type="spellEnd"/>
        <w:r w:rsidR="007D7143" w:rsidRPr="003D3B39">
          <w:rPr>
            <w:rStyle w:val="Hyperlink"/>
            <w:rFonts w:ascii="Arial" w:hAnsi="Arial" w:cs="Arial"/>
            <w:i/>
          </w:rPr>
          <w:t xml:space="preserve"> </w:t>
        </w:r>
        <w:proofErr w:type="spellStart"/>
        <w:r w:rsidR="007D7143" w:rsidRPr="003D3B39">
          <w:rPr>
            <w:rStyle w:val="Hyperlink"/>
            <w:rFonts w:ascii="Arial" w:hAnsi="Arial" w:cs="Arial"/>
            <w:i/>
          </w:rPr>
          <w:t>fisheries</w:t>
        </w:r>
        <w:proofErr w:type="spellEnd"/>
        <w:r w:rsidR="007D7143" w:rsidRPr="003D3B39">
          <w:rPr>
            <w:rStyle w:val="Hyperlink"/>
            <w:rFonts w:ascii="Arial" w:hAnsi="Arial" w:cs="Arial"/>
            <w:i/>
          </w:rPr>
          <w:t xml:space="preserve"> management and </w:t>
        </w:r>
        <w:proofErr w:type="spellStart"/>
        <w:r w:rsidR="007D7143" w:rsidRPr="003D3B39">
          <w:rPr>
            <w:rStyle w:val="Hyperlink"/>
            <w:rFonts w:ascii="Arial" w:hAnsi="Arial" w:cs="Arial"/>
            <w:i/>
          </w:rPr>
          <w:t>deep</w:t>
        </w:r>
        <w:proofErr w:type="spellEnd"/>
        <w:r w:rsidR="007D7143" w:rsidRPr="003D3B39">
          <w:rPr>
            <w:rStyle w:val="Hyperlink"/>
            <w:rFonts w:ascii="Arial" w:hAnsi="Arial" w:cs="Arial"/>
            <w:i/>
          </w:rPr>
          <w:t xml:space="preserve">-sea </w:t>
        </w:r>
        <w:proofErr w:type="spellStart"/>
        <w:r w:rsidR="007D7143" w:rsidRPr="003D3B39">
          <w:rPr>
            <w:rStyle w:val="Hyperlink"/>
            <w:rFonts w:ascii="Arial" w:hAnsi="Arial" w:cs="Arial"/>
            <w:i/>
          </w:rPr>
          <w:t>ecosystems</w:t>
        </w:r>
        <w:proofErr w:type="spellEnd"/>
      </w:hyperlink>
      <w:r w:rsidR="00843B9D">
        <w:rPr>
          <w:rStyle w:val="Hyperlink"/>
          <w:rFonts w:ascii="Arial" w:hAnsi="Arial" w:cs="Arial"/>
          <w:u w:val="none"/>
        </w:rPr>
        <w:t xml:space="preserve">, </w:t>
      </w:r>
      <w:r w:rsidR="007D7143" w:rsidRPr="003D3B39">
        <w:rPr>
          <w:rFonts w:ascii="Arial" w:hAnsi="Arial" w:cs="Arial"/>
        </w:rPr>
        <w:t xml:space="preserve">en el marco de la </w:t>
      </w:r>
      <w:r w:rsidR="00290344" w:rsidRPr="00290344">
        <w:rPr>
          <w:rFonts w:ascii="Arial" w:hAnsi="Arial" w:cs="Arial"/>
        </w:rPr>
        <w:t xml:space="preserve">Conferencia del Decenio de los Océanos 2024 </w:t>
      </w:r>
      <w:r w:rsidR="00290344">
        <w:rPr>
          <w:rFonts w:ascii="Arial" w:hAnsi="Arial" w:cs="Arial"/>
        </w:rPr>
        <w:t>de la ONU.</w:t>
      </w:r>
    </w:p>
    <w:p w14:paraId="7FD32F7F" w14:textId="20759120" w:rsidR="007D7143" w:rsidRPr="003D3B39" w:rsidRDefault="007D7143" w:rsidP="00290344">
      <w:pPr>
        <w:jc w:val="both"/>
        <w:rPr>
          <w:rFonts w:ascii="Arial" w:hAnsi="Arial" w:cs="Arial"/>
        </w:rPr>
      </w:pPr>
      <w:r w:rsidRPr="003D3B39">
        <w:rPr>
          <w:rFonts w:ascii="Arial" w:hAnsi="Arial" w:cs="Arial"/>
        </w:rPr>
        <w:t>En este evento, organizado conjuntamente por el Instituto de Ciencias del Mar de Barcelona (</w:t>
      </w:r>
      <w:proofErr w:type="spellStart"/>
      <w:r w:rsidRPr="003D3B39">
        <w:rPr>
          <w:rFonts w:ascii="Arial" w:hAnsi="Arial" w:cs="Arial"/>
        </w:rPr>
        <w:t>ICM</w:t>
      </w:r>
      <w:proofErr w:type="spellEnd"/>
      <w:r w:rsidRPr="003D3B39">
        <w:rPr>
          <w:rFonts w:ascii="Arial" w:hAnsi="Arial" w:cs="Arial"/>
        </w:rPr>
        <w:t>-CSIC)</w:t>
      </w:r>
      <w:r w:rsidR="0092662E">
        <w:rPr>
          <w:rFonts w:ascii="Arial" w:hAnsi="Arial" w:cs="Arial"/>
        </w:rPr>
        <w:t xml:space="preserve">, </w:t>
      </w:r>
      <w:r w:rsidRPr="003D3B39">
        <w:rPr>
          <w:rFonts w:ascii="Arial" w:hAnsi="Arial" w:cs="Arial"/>
        </w:rPr>
        <w:t>WWF España</w:t>
      </w:r>
      <w:r w:rsidR="0092662E">
        <w:rPr>
          <w:rFonts w:ascii="Arial" w:hAnsi="Arial" w:cs="Arial"/>
        </w:rPr>
        <w:t xml:space="preserve"> y MSC</w:t>
      </w:r>
      <w:r w:rsidRPr="003D3B39">
        <w:rPr>
          <w:rFonts w:ascii="Arial" w:hAnsi="Arial" w:cs="Arial"/>
        </w:rPr>
        <w:t xml:space="preserve">, se </w:t>
      </w:r>
      <w:r w:rsidR="003E1A6D" w:rsidRPr="003D3B39">
        <w:rPr>
          <w:rFonts w:ascii="Arial" w:hAnsi="Arial" w:cs="Arial"/>
        </w:rPr>
        <w:t>pondrán de relieve</w:t>
      </w:r>
      <w:r w:rsidRPr="003D3B39">
        <w:rPr>
          <w:rFonts w:ascii="Arial" w:hAnsi="Arial" w:cs="Arial"/>
        </w:rPr>
        <w:t xml:space="preserve"> las ideas y logros de diversas partes interesadas, haciendo hincapié en dos facetas vitales de la salud de los océanos: la gestión sostenible de la pesca y la restauración de los fondos marinos. </w:t>
      </w:r>
      <w:r w:rsidR="003E1A6D" w:rsidRPr="003D3B39">
        <w:rPr>
          <w:rFonts w:ascii="Arial" w:hAnsi="Arial" w:cs="Arial"/>
        </w:rPr>
        <w:t>Asimismo, s</w:t>
      </w:r>
      <w:r w:rsidRPr="003D3B39">
        <w:rPr>
          <w:rFonts w:ascii="Arial" w:hAnsi="Arial" w:cs="Arial"/>
        </w:rPr>
        <w:t xml:space="preserve">e celebrará un taller </w:t>
      </w:r>
      <w:r w:rsidR="003E1A6D" w:rsidRPr="003D3B39">
        <w:rPr>
          <w:rFonts w:ascii="Arial" w:hAnsi="Arial" w:cs="Arial"/>
        </w:rPr>
        <w:t>sobre</w:t>
      </w:r>
      <w:r w:rsidRPr="003D3B39">
        <w:rPr>
          <w:rFonts w:ascii="Arial" w:hAnsi="Arial" w:cs="Arial"/>
        </w:rPr>
        <w:t xml:space="preserve"> el </w:t>
      </w:r>
      <w:r w:rsidR="0092662E">
        <w:rPr>
          <w:rFonts w:ascii="Arial" w:hAnsi="Arial" w:cs="Arial"/>
        </w:rPr>
        <w:t>p</w:t>
      </w:r>
      <w:r w:rsidRPr="003D3B39">
        <w:rPr>
          <w:rFonts w:ascii="Arial" w:hAnsi="Arial" w:cs="Arial"/>
        </w:rPr>
        <w:t xml:space="preserve">royecto MedPath </w:t>
      </w:r>
      <w:r w:rsidR="00FF6B46" w:rsidRPr="003D3B39">
        <w:rPr>
          <w:rFonts w:ascii="Arial" w:hAnsi="Arial" w:cs="Arial"/>
        </w:rPr>
        <w:t>en el que se explicará</w:t>
      </w:r>
      <w:r w:rsidRPr="003D3B39">
        <w:rPr>
          <w:rFonts w:ascii="Arial" w:hAnsi="Arial" w:cs="Arial"/>
        </w:rPr>
        <w:t xml:space="preserve"> cómo han influido</w:t>
      </w:r>
      <w:r w:rsidR="00FF6B46" w:rsidRPr="003D3B39">
        <w:rPr>
          <w:rFonts w:ascii="Arial" w:hAnsi="Arial" w:cs="Arial"/>
        </w:rPr>
        <w:t xml:space="preserve"> positivamente diversas iniciativas</w:t>
      </w:r>
      <w:r w:rsidRPr="003D3B39">
        <w:rPr>
          <w:rFonts w:ascii="Arial" w:hAnsi="Arial" w:cs="Arial"/>
        </w:rPr>
        <w:t xml:space="preserve"> en la recopilación de datos y en la gestión de las pesquerías </w:t>
      </w:r>
      <w:r w:rsidR="003E1A6D" w:rsidRPr="003D3B39">
        <w:rPr>
          <w:rFonts w:ascii="Arial" w:hAnsi="Arial" w:cs="Arial"/>
        </w:rPr>
        <w:t>d</w:t>
      </w:r>
      <w:r w:rsidRPr="003D3B39">
        <w:rPr>
          <w:rFonts w:ascii="Arial" w:hAnsi="Arial" w:cs="Arial"/>
        </w:rPr>
        <w:t xml:space="preserve">el Mediterráneo. </w:t>
      </w:r>
      <w:r w:rsidR="00FF6B46" w:rsidRPr="003D3B39">
        <w:rPr>
          <w:rFonts w:ascii="Arial" w:hAnsi="Arial" w:cs="Arial"/>
        </w:rPr>
        <w:t>Igualmente</w:t>
      </w:r>
      <w:r w:rsidRPr="003D3B39">
        <w:rPr>
          <w:rFonts w:ascii="Arial" w:hAnsi="Arial" w:cs="Arial"/>
        </w:rPr>
        <w:t xml:space="preserve">, representantes de los proyectos de restauración de fondos marinos (H2030 REDRESS, LIFE Lophelia, LIFE DREAM y LIFE ECOREST) compartirán sus experiencias en la recuperación de varios hábitats marinos clave. El acto concluirá con una mesa redonda en la que se analizará cómo pueden estos proyectos contribuir a mejorar el funcionamiento de los ecosistemas </w:t>
      </w:r>
      <w:r w:rsidR="00FF6B46" w:rsidRPr="003D3B39">
        <w:rPr>
          <w:rFonts w:ascii="Arial" w:hAnsi="Arial" w:cs="Arial"/>
        </w:rPr>
        <w:t>de las</w:t>
      </w:r>
      <w:r w:rsidRPr="003D3B39">
        <w:rPr>
          <w:rFonts w:ascii="Arial" w:hAnsi="Arial" w:cs="Arial"/>
        </w:rPr>
        <w:t xml:space="preserve"> aguas europeas</w:t>
      </w:r>
      <w:r w:rsidR="00A21130" w:rsidRPr="003D3B39">
        <w:rPr>
          <w:rFonts w:ascii="Arial" w:hAnsi="Arial" w:cs="Arial"/>
        </w:rPr>
        <w:t xml:space="preserve"> abordando con métodos científicos </w:t>
      </w:r>
      <w:r w:rsidRPr="003D3B39">
        <w:rPr>
          <w:rFonts w:ascii="Arial" w:hAnsi="Arial" w:cs="Arial"/>
        </w:rPr>
        <w:t>la gestión de las pesquerías y la restauración de los fondos marinos.</w:t>
      </w:r>
    </w:p>
    <w:p w14:paraId="63D20755" w14:textId="3659AC79" w:rsidR="007D7143" w:rsidRPr="003D3B39" w:rsidRDefault="007D7143" w:rsidP="00332FD6">
      <w:pPr>
        <w:shd w:val="clear" w:color="auto" w:fill="FFFFFF" w:themeFill="background1"/>
        <w:jc w:val="both"/>
        <w:rPr>
          <w:rFonts w:ascii="Arial" w:hAnsi="Arial" w:cs="Arial"/>
        </w:rPr>
      </w:pPr>
      <w:r w:rsidRPr="003D3B39">
        <w:rPr>
          <w:rFonts w:ascii="Arial" w:hAnsi="Arial" w:cs="Arial"/>
        </w:rPr>
        <w:t xml:space="preserve">Para más información sobre </w:t>
      </w:r>
      <w:r w:rsidR="00FF6B46" w:rsidRPr="003D3B39">
        <w:rPr>
          <w:rFonts w:ascii="Arial" w:hAnsi="Arial" w:cs="Arial"/>
        </w:rPr>
        <w:t>la</w:t>
      </w:r>
      <w:r w:rsidRPr="003D3B39">
        <w:rPr>
          <w:rFonts w:ascii="Arial" w:hAnsi="Arial" w:cs="Arial"/>
        </w:rPr>
        <w:t xml:space="preserve"> conferencia y cómo asistir</w:t>
      </w:r>
      <w:r w:rsidR="00FF6B46" w:rsidRPr="003D3B39">
        <w:rPr>
          <w:rFonts w:ascii="Arial" w:hAnsi="Arial" w:cs="Arial"/>
        </w:rPr>
        <w:t xml:space="preserve"> a este evento</w:t>
      </w:r>
      <w:r w:rsidRPr="003D3B39">
        <w:rPr>
          <w:rFonts w:ascii="Arial" w:hAnsi="Arial" w:cs="Arial"/>
        </w:rPr>
        <w:t xml:space="preserve">, pulse aquí: </w:t>
      </w:r>
      <w:hyperlink r:id="rId12" w:history="1">
        <w:r w:rsidRPr="003D3B39">
          <w:rPr>
            <w:rStyle w:val="Hyperlink"/>
            <w:rFonts w:ascii="Arial" w:hAnsi="Arial" w:cs="Arial"/>
          </w:rPr>
          <w:t xml:space="preserve">Conferencia </w:t>
        </w:r>
        <w:r w:rsidR="001F74A2">
          <w:rPr>
            <w:rStyle w:val="Hyperlink"/>
            <w:rFonts w:ascii="Arial" w:hAnsi="Arial" w:cs="Arial"/>
          </w:rPr>
          <w:t>del Decenio de los Océanos 2024 de la ONU:</w:t>
        </w:r>
        <w:r w:rsidRPr="003D3B39">
          <w:rPr>
            <w:rStyle w:val="Hyperlink"/>
            <w:rFonts w:ascii="Arial" w:hAnsi="Arial" w:cs="Arial"/>
          </w:rPr>
          <w:t xml:space="preserve"> </w:t>
        </w:r>
        <w:proofErr w:type="spellStart"/>
        <w:r w:rsidRPr="001F74A2">
          <w:rPr>
            <w:rStyle w:val="Hyperlink"/>
            <w:rFonts w:ascii="Arial" w:hAnsi="Arial" w:cs="Arial"/>
            <w:i/>
            <w:iCs/>
          </w:rPr>
          <w:t>Restoring</w:t>
        </w:r>
        <w:proofErr w:type="spellEnd"/>
        <w:r w:rsidRPr="001F74A2">
          <w:rPr>
            <w:rStyle w:val="Hyperlink"/>
            <w:rFonts w:ascii="Arial" w:hAnsi="Arial" w:cs="Arial"/>
            <w:i/>
            <w:iCs/>
          </w:rPr>
          <w:t xml:space="preserve"> </w:t>
        </w:r>
        <w:proofErr w:type="spellStart"/>
        <w:r w:rsidRPr="001F74A2">
          <w:rPr>
            <w:rStyle w:val="Hyperlink"/>
            <w:rFonts w:ascii="Arial" w:hAnsi="Arial" w:cs="Arial"/>
            <w:i/>
            <w:iCs/>
          </w:rPr>
          <w:t>European</w:t>
        </w:r>
        <w:proofErr w:type="spellEnd"/>
        <w:r w:rsidRPr="001F74A2">
          <w:rPr>
            <w:rStyle w:val="Hyperlink"/>
            <w:rFonts w:ascii="Arial" w:hAnsi="Arial" w:cs="Arial"/>
            <w:i/>
            <w:iCs/>
          </w:rPr>
          <w:t xml:space="preserve"> seas</w:t>
        </w:r>
        <w:r w:rsidRPr="003D3B39">
          <w:rPr>
            <w:rStyle w:val="Hyperlink"/>
            <w:rFonts w:ascii="Arial" w:hAnsi="Arial" w:cs="Arial"/>
          </w:rPr>
          <w:t xml:space="preserve">. </w:t>
        </w:r>
        <w:r w:rsidR="00815B0F">
          <w:rPr>
            <w:rStyle w:val="Hyperlink"/>
            <w:rFonts w:ascii="Arial" w:hAnsi="Arial" w:cs="Arial"/>
          </w:rPr>
          <w:t>M</w:t>
        </w:r>
        <w:r w:rsidRPr="003D3B39">
          <w:rPr>
            <w:rStyle w:val="Hyperlink"/>
            <w:rFonts w:ascii="Arial" w:hAnsi="Arial" w:cs="Arial"/>
          </w:rPr>
          <w:t>artes 9 de abril.</w:t>
        </w:r>
      </w:hyperlink>
      <w:r w:rsidR="00815B0F" w:rsidRPr="003D3B39">
        <w:rPr>
          <w:rFonts w:ascii="Arial" w:hAnsi="Arial" w:cs="Arial"/>
        </w:rPr>
        <w:t xml:space="preserve"> </w:t>
      </w:r>
    </w:p>
    <w:p w14:paraId="1AC1162A" w14:textId="77777777" w:rsidR="007D7143" w:rsidRPr="003D3B39" w:rsidRDefault="007D7143" w:rsidP="00E95891">
      <w:pPr>
        <w:pStyle w:val="paragraph"/>
        <w:spacing w:before="0" w:beforeAutospacing="0" w:after="240" w:afterAutospacing="0"/>
        <w:jc w:val="both"/>
        <w:textAlignment w:val="baseline"/>
        <w:rPr>
          <w:rStyle w:val="eop"/>
          <w:rFonts w:ascii="Arial" w:eastAsiaTheme="majorEastAsia" w:hAnsi="Arial" w:cs="Arial"/>
          <w:b/>
          <w:bCs/>
          <w:color w:val="000000"/>
          <w:sz w:val="22"/>
          <w:szCs w:val="22"/>
        </w:rPr>
      </w:pPr>
      <w:r w:rsidRPr="003D3B39">
        <w:rPr>
          <w:rStyle w:val="normaltextrun"/>
          <w:rFonts w:ascii="Arial" w:hAnsi="Arial" w:cs="Arial"/>
          <w:b/>
          <w:color w:val="000000"/>
          <w:sz w:val="22"/>
          <w:shd w:val="clear" w:color="auto" w:fill="FFFFFF"/>
        </w:rPr>
        <w:t>#FIN#</w:t>
      </w:r>
      <w:r w:rsidRPr="003D3B39">
        <w:rPr>
          <w:rStyle w:val="eop"/>
          <w:rFonts w:ascii="Arial" w:hAnsi="Arial" w:cs="Arial"/>
          <w:b/>
          <w:color w:val="000000"/>
          <w:sz w:val="22"/>
        </w:rPr>
        <w:t> </w:t>
      </w:r>
    </w:p>
    <w:p w14:paraId="3C6D6087" w14:textId="77777777" w:rsidR="007D7143" w:rsidRPr="003D3B39" w:rsidRDefault="007D7143" w:rsidP="00332FD6">
      <w:pPr>
        <w:spacing w:after="0" w:line="240" w:lineRule="auto"/>
        <w:jc w:val="both"/>
        <w:rPr>
          <w:rFonts w:ascii="Arial" w:eastAsia="Open Sans" w:hAnsi="Arial" w:cs="Arial"/>
          <w:b/>
          <w:bCs/>
        </w:rPr>
      </w:pPr>
      <w:r w:rsidRPr="003D3B39">
        <w:rPr>
          <w:rFonts w:ascii="Arial" w:hAnsi="Arial" w:cs="Arial"/>
          <w:b/>
        </w:rPr>
        <w:t>Contacto para medios de comunicación:</w:t>
      </w:r>
    </w:p>
    <w:p w14:paraId="31C5C9F2" w14:textId="4B335F38" w:rsidR="007D7143" w:rsidRPr="003D3B39" w:rsidRDefault="007D7143" w:rsidP="00E95891">
      <w:pPr>
        <w:spacing w:line="240" w:lineRule="auto"/>
        <w:jc w:val="both"/>
        <w:rPr>
          <w:rFonts w:ascii="Arial" w:hAnsi="Arial" w:cs="Arial"/>
        </w:rPr>
      </w:pPr>
      <w:r w:rsidRPr="003D3B39">
        <w:rPr>
          <w:rFonts w:ascii="Arial" w:hAnsi="Arial" w:cs="Arial"/>
          <w:b/>
        </w:rPr>
        <w:t>Asun Talavera,</w:t>
      </w:r>
      <w:r w:rsidRPr="003D3B39">
        <w:rPr>
          <w:rFonts w:ascii="Arial" w:hAnsi="Arial" w:cs="Arial"/>
        </w:rPr>
        <w:t xml:space="preserve"> asun.talavera@msc.o</w:t>
      </w:r>
      <w:r w:rsidR="00E95891">
        <w:rPr>
          <w:rFonts w:ascii="Arial" w:hAnsi="Arial" w:cs="Arial"/>
        </w:rPr>
        <w:t>rg</w:t>
      </w:r>
      <w:r w:rsidRPr="003D3B39">
        <w:rPr>
          <w:rFonts w:ascii="Arial" w:hAnsi="Arial" w:cs="Arial"/>
        </w:rPr>
        <w:t>; +34 676 016 630.</w:t>
      </w:r>
    </w:p>
    <w:p w14:paraId="4E7F1940" w14:textId="40E88584" w:rsidR="007D7143" w:rsidRPr="003D3B39" w:rsidRDefault="007D7143" w:rsidP="00332FD6">
      <w:pPr>
        <w:pStyle w:val="paragraph"/>
        <w:spacing w:before="0" w:beforeAutospacing="0" w:after="0" w:afterAutospacing="0"/>
        <w:jc w:val="both"/>
        <w:textAlignment w:val="baseline"/>
        <w:rPr>
          <w:rFonts w:ascii="Arial" w:hAnsi="Arial" w:cs="Arial"/>
          <w:sz w:val="18"/>
          <w:szCs w:val="18"/>
        </w:rPr>
      </w:pPr>
      <w:r w:rsidRPr="003D3B39">
        <w:rPr>
          <w:rStyle w:val="normaltextrun"/>
          <w:rFonts w:ascii="Arial" w:hAnsi="Arial" w:cs="Arial"/>
          <w:b/>
          <w:sz w:val="22"/>
        </w:rPr>
        <w:lastRenderedPageBreak/>
        <w:t>Información complementaria</w:t>
      </w:r>
      <w:r w:rsidR="00EC7A24">
        <w:rPr>
          <w:rStyle w:val="normaltextrun"/>
          <w:rFonts w:ascii="Arial" w:hAnsi="Arial" w:cs="Arial"/>
          <w:b/>
          <w:sz w:val="22"/>
        </w:rPr>
        <w:t>:</w:t>
      </w:r>
      <w:r w:rsidRPr="003D3B39">
        <w:rPr>
          <w:rStyle w:val="eop"/>
          <w:rFonts w:ascii="Arial" w:hAnsi="Arial" w:cs="Arial"/>
          <w:sz w:val="22"/>
        </w:rPr>
        <w:t> </w:t>
      </w:r>
    </w:p>
    <w:p w14:paraId="64319E0E" w14:textId="15C8EEF0" w:rsidR="007D7143" w:rsidRPr="003D3B39" w:rsidRDefault="007D7143" w:rsidP="00332FD6">
      <w:pPr>
        <w:pStyle w:val="ListParagraph"/>
        <w:numPr>
          <w:ilvl w:val="0"/>
          <w:numId w:val="1"/>
        </w:numPr>
        <w:jc w:val="both"/>
        <w:rPr>
          <w:rFonts w:ascii="Arial" w:hAnsi="Arial" w:cs="Arial"/>
        </w:rPr>
      </w:pPr>
      <w:r w:rsidRPr="003D3B39">
        <w:rPr>
          <w:rStyle w:val="ui-provider"/>
          <w:rFonts w:ascii="Arial" w:hAnsi="Arial" w:cs="Arial"/>
        </w:rPr>
        <w:t xml:space="preserve">Las pesquerías con datos limitados son aquellas en las que no se ha efectuado una evaluación analítica de la abundancia de sus poblaciones de peces. Normalmente carecen de recursos para analizar los datos disponibles, o </w:t>
      </w:r>
      <w:r w:rsidR="0082059B" w:rsidRPr="003D3B39">
        <w:rPr>
          <w:rStyle w:val="ui-provider"/>
          <w:rFonts w:ascii="Arial" w:hAnsi="Arial" w:cs="Arial"/>
        </w:rPr>
        <w:t>estos</w:t>
      </w:r>
      <w:r w:rsidRPr="003D3B39">
        <w:rPr>
          <w:rStyle w:val="ui-provider"/>
          <w:rFonts w:ascii="Arial" w:hAnsi="Arial" w:cs="Arial"/>
        </w:rPr>
        <w:t xml:space="preserve"> datos no son suficientes para </w:t>
      </w:r>
      <w:r w:rsidR="004A35B2" w:rsidRPr="003D3B39">
        <w:rPr>
          <w:rStyle w:val="ui-provider"/>
          <w:rFonts w:ascii="Arial" w:hAnsi="Arial" w:cs="Arial"/>
        </w:rPr>
        <w:t xml:space="preserve">poder </w:t>
      </w:r>
      <w:r w:rsidRPr="003D3B39">
        <w:rPr>
          <w:rStyle w:val="ui-provider"/>
          <w:rFonts w:ascii="Arial" w:hAnsi="Arial" w:cs="Arial"/>
        </w:rPr>
        <w:t>llevar a cabo una evaluación convencional de las poblacione</w:t>
      </w:r>
      <w:r w:rsidR="004A35B2" w:rsidRPr="003D3B39">
        <w:rPr>
          <w:rStyle w:val="ui-provider"/>
          <w:rFonts w:ascii="Arial" w:hAnsi="Arial" w:cs="Arial"/>
        </w:rPr>
        <w:t>s de pece</w:t>
      </w:r>
      <w:r w:rsidRPr="003D3B39">
        <w:rPr>
          <w:rStyle w:val="ui-provider"/>
          <w:rFonts w:ascii="Arial" w:hAnsi="Arial" w:cs="Arial"/>
        </w:rPr>
        <w:t>s.</w:t>
      </w:r>
    </w:p>
    <w:p w14:paraId="5E89582D" w14:textId="581C66B6" w:rsidR="007D7143" w:rsidRPr="003D3B39" w:rsidRDefault="007D7143" w:rsidP="00332FD6">
      <w:pPr>
        <w:pStyle w:val="ListParagraph"/>
        <w:numPr>
          <w:ilvl w:val="0"/>
          <w:numId w:val="1"/>
        </w:numPr>
        <w:spacing w:before="240"/>
        <w:jc w:val="both"/>
        <w:rPr>
          <w:rStyle w:val="Hyperlink"/>
          <w:rFonts w:ascii="Arial" w:hAnsi="Arial" w:cs="Arial"/>
        </w:rPr>
      </w:pPr>
      <w:r w:rsidRPr="003D3B39">
        <w:rPr>
          <w:rFonts w:ascii="Arial" w:hAnsi="Arial" w:cs="Arial"/>
        </w:rPr>
        <w:t xml:space="preserve">Informe de la Comisión General de Pesca del Mediterráneo sobre el Estado de la Pesca en el Mediterráneo y el Mar Negro de 2023, </w:t>
      </w:r>
      <w:hyperlink r:id="rId13" w:history="1">
        <w:r w:rsidRPr="003D3B39">
          <w:rPr>
            <w:rStyle w:val="Hyperlink"/>
            <w:rFonts w:ascii="Arial" w:hAnsi="Arial" w:cs="Arial"/>
          </w:rPr>
          <w:t xml:space="preserve">The </w:t>
        </w:r>
        <w:proofErr w:type="spellStart"/>
        <w:r w:rsidRPr="003D3B39">
          <w:rPr>
            <w:rStyle w:val="Hyperlink"/>
            <w:rFonts w:ascii="Arial" w:hAnsi="Arial" w:cs="Arial"/>
          </w:rPr>
          <w:t>State</w:t>
        </w:r>
        <w:proofErr w:type="spellEnd"/>
        <w:r w:rsidRPr="003D3B39">
          <w:rPr>
            <w:rStyle w:val="Hyperlink"/>
            <w:rFonts w:ascii="Arial" w:hAnsi="Arial" w:cs="Arial"/>
          </w:rPr>
          <w:t xml:space="preserve"> of </w:t>
        </w:r>
        <w:proofErr w:type="spellStart"/>
        <w:r w:rsidRPr="003D3B39">
          <w:rPr>
            <w:rStyle w:val="Hyperlink"/>
            <w:rFonts w:ascii="Arial" w:hAnsi="Arial" w:cs="Arial"/>
          </w:rPr>
          <w:t>Mediterranean</w:t>
        </w:r>
        <w:proofErr w:type="spellEnd"/>
        <w:r w:rsidRPr="003D3B39">
          <w:rPr>
            <w:rStyle w:val="Hyperlink"/>
            <w:rFonts w:ascii="Arial" w:hAnsi="Arial" w:cs="Arial"/>
          </w:rPr>
          <w:t xml:space="preserve"> and Black Sea Fisheries 2023 </w:t>
        </w:r>
        <w:proofErr w:type="spellStart"/>
        <w:r w:rsidRPr="003D3B39">
          <w:rPr>
            <w:rStyle w:val="Hyperlink"/>
            <w:rFonts w:ascii="Arial" w:hAnsi="Arial" w:cs="Arial"/>
          </w:rPr>
          <w:t>report</w:t>
        </w:r>
        <w:proofErr w:type="spellEnd"/>
      </w:hyperlink>
      <w:r w:rsidR="004A35B2" w:rsidRPr="003D3B39">
        <w:rPr>
          <w:rStyle w:val="Hyperlink"/>
          <w:rFonts w:ascii="Arial" w:hAnsi="Arial" w:cs="Arial"/>
        </w:rPr>
        <w:t xml:space="preserve"> </w:t>
      </w:r>
      <w:r w:rsidRPr="003D3B39">
        <w:rPr>
          <w:rStyle w:val="Hyperlink"/>
          <w:rFonts w:ascii="Arial" w:hAnsi="Arial" w:cs="Arial"/>
        </w:rPr>
        <w:t>(en inglés).</w:t>
      </w:r>
    </w:p>
    <w:p w14:paraId="56088F10" w14:textId="77777777" w:rsidR="007D7143" w:rsidRPr="003D3B39" w:rsidRDefault="007D7143" w:rsidP="00332FD6">
      <w:pPr>
        <w:pStyle w:val="ListParagraph"/>
        <w:numPr>
          <w:ilvl w:val="0"/>
          <w:numId w:val="1"/>
        </w:numPr>
        <w:jc w:val="both"/>
        <w:rPr>
          <w:rFonts w:ascii="Arial" w:hAnsi="Arial" w:cs="Arial"/>
        </w:rPr>
      </w:pPr>
      <w:r w:rsidRPr="003D3B39">
        <w:rPr>
          <w:rFonts w:ascii="Arial" w:hAnsi="Arial" w:cs="Arial"/>
        </w:rPr>
        <w:t>Los Proyectos Pathway se dividen en cuatro etapas:</w:t>
      </w:r>
    </w:p>
    <w:p w14:paraId="2165350D" w14:textId="43BD9B32" w:rsidR="007D7143" w:rsidRPr="003D3B39" w:rsidRDefault="007D7143" w:rsidP="00332FD6">
      <w:pPr>
        <w:pStyle w:val="ListParagraph"/>
        <w:numPr>
          <w:ilvl w:val="0"/>
          <w:numId w:val="3"/>
        </w:numPr>
        <w:jc w:val="both"/>
        <w:rPr>
          <w:rFonts w:ascii="Arial" w:hAnsi="Arial" w:cs="Arial"/>
          <w:b/>
          <w:bCs/>
        </w:rPr>
      </w:pPr>
      <w:r w:rsidRPr="003D3B39">
        <w:rPr>
          <w:rFonts w:ascii="Arial" w:hAnsi="Arial" w:cs="Arial"/>
          <w:b/>
        </w:rPr>
        <w:t xml:space="preserve">Etapa 1: </w:t>
      </w:r>
      <w:r w:rsidR="00D90C9F">
        <w:rPr>
          <w:rFonts w:ascii="Arial" w:hAnsi="Arial" w:cs="Arial"/>
          <w:b/>
        </w:rPr>
        <w:t>a</w:t>
      </w:r>
      <w:r w:rsidRPr="003D3B39">
        <w:rPr>
          <w:rFonts w:ascii="Arial" w:hAnsi="Arial" w:cs="Arial"/>
          <w:b/>
        </w:rPr>
        <w:t>nálisis</w:t>
      </w:r>
      <w:r w:rsidR="00AF46FF">
        <w:rPr>
          <w:rFonts w:ascii="Arial" w:hAnsi="Arial" w:cs="Arial"/>
          <w:b/>
        </w:rPr>
        <w:t>.</w:t>
      </w:r>
      <w:r w:rsidRPr="003D3B39">
        <w:rPr>
          <w:rFonts w:ascii="Arial" w:hAnsi="Arial" w:cs="Arial"/>
          <w:b/>
        </w:rPr>
        <w:t xml:space="preserve"> </w:t>
      </w:r>
      <w:r w:rsidRPr="003D3B39">
        <w:rPr>
          <w:rFonts w:ascii="Arial" w:hAnsi="Arial" w:cs="Arial"/>
        </w:rPr>
        <w:t xml:space="preserve">Se analizan las distintas pesquerías de una región determinada a través de los datos recopilados </w:t>
      </w:r>
      <w:r w:rsidR="004A35B2" w:rsidRPr="003D3B39">
        <w:rPr>
          <w:rFonts w:ascii="Arial" w:hAnsi="Arial" w:cs="Arial"/>
        </w:rPr>
        <w:t>en torno a</w:t>
      </w:r>
      <w:r w:rsidRPr="003D3B39">
        <w:rPr>
          <w:rFonts w:ascii="Arial" w:hAnsi="Arial" w:cs="Arial"/>
        </w:rPr>
        <w:t xml:space="preserve"> aspectos </w:t>
      </w:r>
      <w:r w:rsidR="004A35B2" w:rsidRPr="003D3B39">
        <w:rPr>
          <w:rFonts w:ascii="Arial" w:hAnsi="Arial" w:cs="Arial"/>
        </w:rPr>
        <w:t xml:space="preserve">tales </w:t>
      </w:r>
      <w:r w:rsidRPr="003D3B39">
        <w:rPr>
          <w:rFonts w:ascii="Arial" w:hAnsi="Arial" w:cs="Arial"/>
        </w:rPr>
        <w:t>como tipos de artes de pesca, especies objetivo y tamaño de la flota.</w:t>
      </w:r>
    </w:p>
    <w:p w14:paraId="42B0FE34" w14:textId="2BBCB0C7" w:rsidR="007D7143" w:rsidRPr="003D3B39" w:rsidRDefault="007D7143" w:rsidP="00332FD6">
      <w:pPr>
        <w:pStyle w:val="ListParagraph"/>
        <w:numPr>
          <w:ilvl w:val="0"/>
          <w:numId w:val="3"/>
        </w:numPr>
        <w:jc w:val="both"/>
        <w:rPr>
          <w:rFonts w:ascii="Arial" w:hAnsi="Arial" w:cs="Arial"/>
        </w:rPr>
      </w:pPr>
      <w:r w:rsidRPr="003D3B39">
        <w:rPr>
          <w:rFonts w:ascii="Arial" w:hAnsi="Arial" w:cs="Arial"/>
          <w:b/>
        </w:rPr>
        <w:t xml:space="preserve">Etapa 2: </w:t>
      </w:r>
      <w:r w:rsidR="00D90C9F">
        <w:rPr>
          <w:rFonts w:ascii="Arial" w:hAnsi="Arial" w:cs="Arial"/>
          <w:b/>
        </w:rPr>
        <w:t>p</w:t>
      </w:r>
      <w:r w:rsidRPr="003D3B39">
        <w:rPr>
          <w:rFonts w:ascii="Arial" w:hAnsi="Arial" w:cs="Arial"/>
          <w:b/>
        </w:rPr>
        <w:t>reevaluación</w:t>
      </w:r>
      <w:r w:rsidR="00AF46FF">
        <w:rPr>
          <w:rFonts w:ascii="Arial" w:hAnsi="Arial" w:cs="Arial"/>
          <w:b/>
        </w:rPr>
        <w:t>.</w:t>
      </w:r>
      <w:r w:rsidRPr="003D3B39">
        <w:rPr>
          <w:rFonts w:ascii="Arial" w:hAnsi="Arial" w:cs="Arial"/>
          <w:b/>
        </w:rPr>
        <w:t xml:space="preserve"> </w:t>
      </w:r>
      <w:r w:rsidRPr="003D3B39">
        <w:rPr>
          <w:rFonts w:ascii="Arial" w:hAnsi="Arial" w:cs="Arial"/>
        </w:rPr>
        <w:t>Un grupo de asesores selecciona a las pesquerías que van a ser preevaluadas y se analizan sus deficiencias con arreglo al Estándar de Pesquerías de MSC para identificar las áreas a mejorar.</w:t>
      </w:r>
    </w:p>
    <w:p w14:paraId="1B14D980" w14:textId="48725B9E" w:rsidR="007D7143" w:rsidRPr="003D3B39" w:rsidRDefault="007D7143" w:rsidP="00332FD6">
      <w:pPr>
        <w:pStyle w:val="ListParagraph"/>
        <w:numPr>
          <w:ilvl w:val="0"/>
          <w:numId w:val="3"/>
        </w:numPr>
        <w:jc w:val="both"/>
        <w:rPr>
          <w:rFonts w:ascii="Arial" w:hAnsi="Arial" w:cs="Arial"/>
        </w:rPr>
      </w:pPr>
      <w:r w:rsidRPr="003D3B39">
        <w:rPr>
          <w:rFonts w:ascii="Arial" w:hAnsi="Arial" w:cs="Arial"/>
          <w:b/>
        </w:rPr>
        <w:t xml:space="preserve">Etapa 3: </w:t>
      </w:r>
      <w:r w:rsidR="00D90C9F">
        <w:rPr>
          <w:rFonts w:ascii="Arial" w:hAnsi="Arial" w:cs="Arial"/>
          <w:b/>
        </w:rPr>
        <w:t>e</w:t>
      </w:r>
      <w:r w:rsidRPr="003D3B39">
        <w:rPr>
          <w:rFonts w:ascii="Arial" w:hAnsi="Arial" w:cs="Arial"/>
          <w:b/>
        </w:rPr>
        <w:t>laboración del plan de acción</w:t>
      </w:r>
      <w:r w:rsidR="00AF46FF">
        <w:rPr>
          <w:rFonts w:ascii="Arial" w:hAnsi="Arial" w:cs="Arial"/>
          <w:b/>
        </w:rPr>
        <w:t>.</w:t>
      </w:r>
      <w:r w:rsidRPr="003D3B39">
        <w:rPr>
          <w:rFonts w:ascii="Arial" w:hAnsi="Arial" w:cs="Arial"/>
          <w:b/>
        </w:rPr>
        <w:t xml:space="preserve"> </w:t>
      </w:r>
      <w:r w:rsidRPr="003D3B39">
        <w:rPr>
          <w:rFonts w:ascii="Arial" w:hAnsi="Arial" w:cs="Arial"/>
        </w:rPr>
        <w:t>Se elabora un plan para abordar las deficiencias detectadas en la preevaluación.</w:t>
      </w:r>
    </w:p>
    <w:p w14:paraId="09E8B75B" w14:textId="17EA4D7F" w:rsidR="007D7143" w:rsidRPr="003D3B39" w:rsidRDefault="007D7143" w:rsidP="00332FD6">
      <w:pPr>
        <w:pStyle w:val="ListParagraph"/>
        <w:numPr>
          <w:ilvl w:val="0"/>
          <w:numId w:val="3"/>
        </w:numPr>
        <w:jc w:val="both"/>
        <w:rPr>
          <w:rFonts w:ascii="Arial" w:hAnsi="Arial" w:cs="Arial"/>
        </w:rPr>
      </w:pPr>
      <w:r w:rsidRPr="003D3B39">
        <w:rPr>
          <w:rFonts w:ascii="Arial" w:hAnsi="Arial" w:cs="Arial"/>
          <w:b/>
        </w:rPr>
        <w:t xml:space="preserve">Etapa 4: </w:t>
      </w:r>
      <w:r w:rsidR="00D90C9F">
        <w:rPr>
          <w:rFonts w:ascii="Arial" w:hAnsi="Arial" w:cs="Arial"/>
          <w:b/>
        </w:rPr>
        <w:t>p</w:t>
      </w:r>
      <w:r w:rsidRPr="003D3B39">
        <w:rPr>
          <w:rFonts w:ascii="Arial" w:hAnsi="Arial" w:cs="Arial"/>
          <w:b/>
        </w:rPr>
        <w:t>uesta en marcha del plan de acción</w:t>
      </w:r>
      <w:r w:rsidR="00AF46FF">
        <w:rPr>
          <w:rFonts w:ascii="Arial" w:hAnsi="Arial" w:cs="Arial"/>
          <w:b/>
        </w:rPr>
        <w:t>.</w:t>
      </w:r>
      <w:r w:rsidRPr="003D3B39">
        <w:rPr>
          <w:rFonts w:ascii="Arial" w:hAnsi="Arial" w:cs="Arial"/>
          <w:b/>
        </w:rPr>
        <w:t xml:space="preserve"> </w:t>
      </w:r>
      <w:r w:rsidRPr="003D3B39">
        <w:rPr>
          <w:rFonts w:ascii="Arial" w:hAnsi="Arial" w:cs="Arial"/>
        </w:rPr>
        <w:t xml:space="preserve">Se llevan a cabo las mejoras previstas en el plan de acción. </w:t>
      </w:r>
    </w:p>
    <w:p w14:paraId="3FCEC5D9" w14:textId="77777777" w:rsidR="007D7143" w:rsidRPr="003D3B39" w:rsidRDefault="007D7143" w:rsidP="00332FD6">
      <w:pPr>
        <w:spacing w:after="0" w:line="240" w:lineRule="auto"/>
        <w:jc w:val="both"/>
        <w:textAlignment w:val="baseline"/>
        <w:rPr>
          <w:rFonts w:ascii="Arial" w:hAnsi="Arial" w:cs="Arial"/>
        </w:rPr>
      </w:pPr>
      <w:r w:rsidRPr="003D3B39">
        <w:rPr>
          <w:rFonts w:ascii="Arial" w:hAnsi="Arial" w:cs="Arial"/>
          <w:b/>
          <w:bCs/>
        </w:rPr>
        <w:t xml:space="preserve">Marine Stewardship Council (MSC) </w:t>
      </w:r>
      <w:r w:rsidRPr="003D3B39">
        <w:rPr>
          <w:rFonts w:ascii="Arial" w:hAnsi="Arial" w:cs="Arial"/>
        </w:rPr>
        <w:t xml:space="preserve">es una organización internacional sin ánimo de lucro que establece una serie de estándares, mundialmente reconocidos, en materia de pesca sostenible y cadena de custodia de productos pesqueros. Las pesquerías que participan en su programa de certificación representan un 19 % de las capturas mundiales que se realizan en el mar. Para más información, visite nuestra web en </w:t>
      </w:r>
      <w:hyperlink r:id="rId14" w:tgtFrame="_blank" w:history="1">
        <w:r w:rsidRPr="003D3B39">
          <w:rPr>
            <w:rStyle w:val="Hyperlink"/>
            <w:rFonts w:ascii="Arial" w:hAnsi="Arial" w:cs="Arial"/>
          </w:rPr>
          <w:t>msc.org</w:t>
        </w:r>
      </w:hyperlink>
      <w:r w:rsidRPr="003D3B39">
        <w:rPr>
          <w:rFonts w:ascii="Arial" w:hAnsi="Arial" w:cs="Arial"/>
        </w:rPr>
        <w:t xml:space="preserve"> o nuestras redes sociales: </w:t>
      </w:r>
    </w:p>
    <w:p w14:paraId="7A88DA9D" w14:textId="77777777" w:rsidR="007D7143" w:rsidRPr="003D3B39" w:rsidRDefault="007D7143" w:rsidP="00332FD6">
      <w:pPr>
        <w:spacing w:after="0" w:line="240" w:lineRule="auto"/>
        <w:jc w:val="both"/>
        <w:textAlignment w:val="baseline"/>
        <w:rPr>
          <w:rFonts w:ascii="Arial" w:eastAsia="Times New Roman" w:hAnsi="Arial" w:cs="Arial"/>
          <w:kern w:val="0"/>
          <w:sz w:val="18"/>
          <w:szCs w:val="18"/>
          <w14:ligatures w14:val="none"/>
        </w:rPr>
      </w:pPr>
    </w:p>
    <w:p w14:paraId="6F37AF7F" w14:textId="55E5386A" w:rsidR="007D7143" w:rsidRPr="003D3B39" w:rsidRDefault="007D7143" w:rsidP="00332FD6">
      <w:pPr>
        <w:spacing w:after="0" w:line="240" w:lineRule="auto"/>
        <w:jc w:val="both"/>
        <w:textAlignment w:val="baseline"/>
        <w:rPr>
          <w:rFonts w:ascii="Arial" w:eastAsia="Times New Roman" w:hAnsi="Arial" w:cs="Arial"/>
          <w:kern w:val="0"/>
          <w:sz w:val="18"/>
          <w:szCs w:val="18"/>
          <w14:ligatures w14:val="none"/>
        </w:rPr>
      </w:pPr>
      <w:r w:rsidRPr="003D3B39">
        <w:rPr>
          <w:rFonts w:ascii="Arial" w:hAnsi="Arial" w:cs="Arial"/>
          <w:sz w:val="18"/>
        </w:rPr>
        <w:t xml:space="preserve"> </w:t>
      </w:r>
      <w:r w:rsidR="00CA340F">
        <w:rPr>
          <w:rFonts w:ascii="Arial" w:hAnsi="Arial" w:cs="Arial"/>
          <w:noProof/>
          <w:sz w:val="18"/>
        </w:rPr>
        <w:drawing>
          <wp:inline distT="0" distB="0" distL="0" distR="0" wp14:anchorId="55B228F3" wp14:editId="67C09A06">
            <wp:extent cx="304376" cy="301752"/>
            <wp:effectExtent l="0" t="0" r="635" b="3175"/>
            <wp:docPr id="740845327" name="Picture 1" descr="A black and white logo&#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5327" name="Picture 1" descr="A black and white logo&#10;&#10;Description automatically generated">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4376" cy="301752"/>
                    </a:xfrm>
                    <a:prstGeom prst="rect">
                      <a:avLst/>
                    </a:prstGeom>
                  </pic:spPr>
                </pic:pic>
              </a:graphicData>
            </a:graphic>
          </wp:inline>
        </w:drawing>
      </w:r>
      <w:r w:rsidRPr="003D3B39">
        <w:rPr>
          <w:rFonts w:ascii="Arial" w:hAnsi="Arial" w:cs="Arial"/>
          <w:sz w:val="18"/>
        </w:rPr>
        <w:t xml:space="preserve"> </w:t>
      </w:r>
      <w:r w:rsidRPr="003D3B39">
        <w:rPr>
          <w:rFonts w:ascii="Arial" w:hAnsi="Arial" w:cs="Arial"/>
          <w:noProof/>
        </w:rPr>
        <w:drawing>
          <wp:inline distT="0" distB="0" distL="0" distR="0" wp14:anchorId="6A706C36" wp14:editId="2538E0C1">
            <wp:extent cx="304800" cy="304800"/>
            <wp:effectExtent l="0" t="0" r="0" b="0"/>
            <wp:docPr id="279717172"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17172" name="Picture 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D3B39">
        <w:rPr>
          <w:rFonts w:ascii="Arial" w:hAnsi="Arial" w:cs="Arial"/>
          <w:sz w:val="18"/>
        </w:rPr>
        <w:t xml:space="preserve"> </w:t>
      </w:r>
      <w:r w:rsidRPr="003D3B39">
        <w:rPr>
          <w:rFonts w:ascii="Arial" w:hAnsi="Arial" w:cs="Arial"/>
          <w:noProof/>
        </w:rPr>
        <w:drawing>
          <wp:inline distT="0" distB="0" distL="0" distR="0" wp14:anchorId="34B16578" wp14:editId="510F688A">
            <wp:extent cx="304800" cy="304800"/>
            <wp:effectExtent l="0" t="0" r="0" b="0"/>
            <wp:docPr id="4818578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5783" name="Picture 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D3B39">
        <w:rPr>
          <w:rFonts w:ascii="Arial" w:hAnsi="Arial" w:cs="Arial"/>
          <w:sz w:val="18"/>
        </w:rPr>
        <w:t xml:space="preserve"> </w:t>
      </w:r>
      <w:r w:rsidRPr="003D3B39">
        <w:rPr>
          <w:rFonts w:ascii="Arial" w:hAnsi="Arial" w:cs="Arial"/>
          <w:noProof/>
        </w:rPr>
        <w:drawing>
          <wp:inline distT="0" distB="0" distL="0" distR="0" wp14:anchorId="387DBC61" wp14:editId="5DE46A5A">
            <wp:extent cx="304800" cy="304800"/>
            <wp:effectExtent l="0" t="0" r="0" b="0"/>
            <wp:docPr id="1147623257" name="Picture 2" descr="A blue and black logo&#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623257" name="Picture 2" descr="A blue and black logo&#10;&#10;Description automatically generated">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D3B39">
        <w:rPr>
          <w:rFonts w:ascii="Arial" w:hAnsi="Arial" w:cs="Arial"/>
          <w:sz w:val="18"/>
        </w:rPr>
        <w:t xml:space="preserve"> </w:t>
      </w:r>
      <w:r w:rsidRPr="003D3B39">
        <w:rPr>
          <w:rFonts w:ascii="Arial" w:hAnsi="Arial" w:cs="Arial"/>
          <w:noProof/>
        </w:rPr>
        <w:drawing>
          <wp:inline distT="0" distB="0" distL="0" distR="0" wp14:anchorId="76A9AA67" wp14:editId="3C5D8DBE">
            <wp:extent cx="304800" cy="304800"/>
            <wp:effectExtent l="0" t="0" r="0" b="0"/>
            <wp:docPr id="1190497567" name="Picture 1" descr="A red and white logo&#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97567" name="Picture 1" descr="A red and white logo&#10;&#10;Description automatically generated">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D3B39">
        <w:rPr>
          <w:rFonts w:ascii="Arial" w:hAnsi="Arial" w:cs="Arial"/>
        </w:rPr>
        <w:t> </w:t>
      </w:r>
    </w:p>
    <w:p w14:paraId="46547BB8" w14:textId="77777777" w:rsidR="007D7143" w:rsidRPr="003D3B39" w:rsidRDefault="007D7143" w:rsidP="00332FD6">
      <w:pPr>
        <w:spacing w:after="0" w:line="240" w:lineRule="auto"/>
        <w:jc w:val="both"/>
        <w:textAlignment w:val="baseline"/>
        <w:rPr>
          <w:rFonts w:ascii="Arial" w:eastAsia="Times New Roman" w:hAnsi="Arial" w:cs="Arial"/>
          <w:kern w:val="0"/>
          <w:sz w:val="18"/>
          <w:szCs w:val="18"/>
          <w14:ligatures w14:val="none"/>
        </w:rPr>
      </w:pPr>
      <w:r w:rsidRPr="003D3B39">
        <w:rPr>
          <w:rFonts w:ascii="Arial" w:hAnsi="Arial" w:cs="Arial"/>
          <w:color w:val="4A5E62"/>
        </w:rPr>
        <w:t> </w:t>
      </w:r>
    </w:p>
    <w:p w14:paraId="321B20EE" w14:textId="77777777" w:rsidR="007D7143" w:rsidRPr="003D3B39" w:rsidRDefault="007D7143" w:rsidP="00332FD6">
      <w:pPr>
        <w:ind w:left="360"/>
        <w:jc w:val="both"/>
        <w:rPr>
          <w:rFonts w:ascii="Arial" w:hAnsi="Arial" w:cs="Arial"/>
          <w:lang w:val="en-GB"/>
        </w:rPr>
      </w:pPr>
    </w:p>
    <w:p w14:paraId="143AED81" w14:textId="77777777" w:rsidR="007D7143" w:rsidRPr="003D3B39" w:rsidRDefault="007D7143" w:rsidP="00332FD6">
      <w:pPr>
        <w:jc w:val="both"/>
        <w:rPr>
          <w:rFonts w:ascii="Arial" w:hAnsi="Arial" w:cs="Arial"/>
        </w:rPr>
      </w:pPr>
    </w:p>
    <w:sectPr w:rsidR="007D7143" w:rsidRPr="003D3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E7D2C"/>
    <w:multiLevelType w:val="hybridMultilevel"/>
    <w:tmpl w:val="904E94B8"/>
    <w:lvl w:ilvl="0" w:tplc="CF5693E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E71487"/>
    <w:multiLevelType w:val="hybridMultilevel"/>
    <w:tmpl w:val="E3AE4F8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897B16"/>
    <w:multiLevelType w:val="hybridMultilevel"/>
    <w:tmpl w:val="968E6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F86970"/>
    <w:multiLevelType w:val="hybridMultilevel"/>
    <w:tmpl w:val="650E2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4986093">
    <w:abstractNumId w:val="0"/>
  </w:num>
  <w:num w:numId="2" w16cid:durableId="1883863730">
    <w:abstractNumId w:val="3"/>
  </w:num>
  <w:num w:numId="3" w16cid:durableId="338050327">
    <w:abstractNumId w:val="2"/>
  </w:num>
  <w:num w:numId="4" w16cid:durableId="1064987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43"/>
    <w:rsid w:val="00013DE5"/>
    <w:rsid w:val="00034600"/>
    <w:rsid w:val="000744A7"/>
    <w:rsid w:val="000A348C"/>
    <w:rsid w:val="00125D17"/>
    <w:rsid w:val="001315EE"/>
    <w:rsid w:val="0014082F"/>
    <w:rsid w:val="001922D5"/>
    <w:rsid w:val="00194340"/>
    <w:rsid w:val="001F74A2"/>
    <w:rsid w:val="00290344"/>
    <w:rsid w:val="002C04D0"/>
    <w:rsid w:val="0030415D"/>
    <w:rsid w:val="00332FD6"/>
    <w:rsid w:val="00334DA8"/>
    <w:rsid w:val="00370C22"/>
    <w:rsid w:val="003A4938"/>
    <w:rsid w:val="003B2DDD"/>
    <w:rsid w:val="003C60DF"/>
    <w:rsid w:val="003D3B39"/>
    <w:rsid w:val="003E1A6D"/>
    <w:rsid w:val="003E6CAD"/>
    <w:rsid w:val="00404BC8"/>
    <w:rsid w:val="00462A65"/>
    <w:rsid w:val="004A35B2"/>
    <w:rsid w:val="00515AFD"/>
    <w:rsid w:val="0053107C"/>
    <w:rsid w:val="00644A82"/>
    <w:rsid w:val="006C52E5"/>
    <w:rsid w:val="006F3FE4"/>
    <w:rsid w:val="006F51BD"/>
    <w:rsid w:val="00703CE7"/>
    <w:rsid w:val="00720BD9"/>
    <w:rsid w:val="00725DA2"/>
    <w:rsid w:val="007C2D53"/>
    <w:rsid w:val="007D7143"/>
    <w:rsid w:val="00815B0F"/>
    <w:rsid w:val="00815E13"/>
    <w:rsid w:val="0082059B"/>
    <w:rsid w:val="00843B9D"/>
    <w:rsid w:val="008C7C27"/>
    <w:rsid w:val="0092662E"/>
    <w:rsid w:val="00991D9E"/>
    <w:rsid w:val="00991F2E"/>
    <w:rsid w:val="009A0092"/>
    <w:rsid w:val="009D1BD1"/>
    <w:rsid w:val="00A02965"/>
    <w:rsid w:val="00A21130"/>
    <w:rsid w:val="00A24207"/>
    <w:rsid w:val="00A61688"/>
    <w:rsid w:val="00AA77DC"/>
    <w:rsid w:val="00AC4858"/>
    <w:rsid w:val="00AE77DF"/>
    <w:rsid w:val="00AF46FF"/>
    <w:rsid w:val="00B57839"/>
    <w:rsid w:val="00B7254B"/>
    <w:rsid w:val="00B92E13"/>
    <w:rsid w:val="00BA1AD1"/>
    <w:rsid w:val="00CA340F"/>
    <w:rsid w:val="00CF3B43"/>
    <w:rsid w:val="00CF7BA8"/>
    <w:rsid w:val="00D366A2"/>
    <w:rsid w:val="00D548C5"/>
    <w:rsid w:val="00D90C9F"/>
    <w:rsid w:val="00E32467"/>
    <w:rsid w:val="00E95891"/>
    <w:rsid w:val="00EC6566"/>
    <w:rsid w:val="00EC7A24"/>
    <w:rsid w:val="00ED5680"/>
    <w:rsid w:val="00F357DC"/>
    <w:rsid w:val="00F831F6"/>
    <w:rsid w:val="00FF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71B3"/>
  <w15:chartTrackingRefBased/>
  <w15:docId w15:val="{9939864D-F413-47C6-85AE-90F48C37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143"/>
    <w:pPr>
      <w:spacing w:line="259" w:lineRule="auto"/>
    </w:pPr>
    <w:rPr>
      <w:sz w:val="22"/>
      <w:szCs w:val="22"/>
    </w:rPr>
  </w:style>
  <w:style w:type="paragraph" w:styleId="Heading1">
    <w:name w:val="heading 1"/>
    <w:basedOn w:val="Normal"/>
    <w:next w:val="Normal"/>
    <w:link w:val="Heading1Char"/>
    <w:uiPriority w:val="9"/>
    <w:qFormat/>
    <w:rsid w:val="007D7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143"/>
    <w:rPr>
      <w:rFonts w:eastAsiaTheme="majorEastAsia" w:cstheme="majorBidi"/>
      <w:color w:val="272727" w:themeColor="text1" w:themeTint="D8"/>
    </w:rPr>
  </w:style>
  <w:style w:type="paragraph" w:styleId="Title">
    <w:name w:val="Title"/>
    <w:basedOn w:val="Normal"/>
    <w:next w:val="Normal"/>
    <w:link w:val="TitleChar"/>
    <w:uiPriority w:val="10"/>
    <w:qFormat/>
    <w:rsid w:val="007D7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143"/>
    <w:pPr>
      <w:spacing w:before="160"/>
      <w:jc w:val="center"/>
    </w:pPr>
    <w:rPr>
      <w:i/>
      <w:iCs/>
      <w:color w:val="404040" w:themeColor="text1" w:themeTint="BF"/>
    </w:rPr>
  </w:style>
  <w:style w:type="character" w:customStyle="1" w:styleId="QuoteChar">
    <w:name w:val="Quote Char"/>
    <w:basedOn w:val="DefaultParagraphFont"/>
    <w:link w:val="Quote"/>
    <w:uiPriority w:val="29"/>
    <w:rsid w:val="007D7143"/>
    <w:rPr>
      <w:i/>
      <w:iCs/>
      <w:color w:val="404040" w:themeColor="text1" w:themeTint="BF"/>
    </w:rPr>
  </w:style>
  <w:style w:type="paragraph" w:styleId="ListParagraph">
    <w:name w:val="List Paragraph"/>
    <w:basedOn w:val="Normal"/>
    <w:uiPriority w:val="34"/>
    <w:qFormat/>
    <w:rsid w:val="007D7143"/>
    <w:pPr>
      <w:ind w:left="720"/>
      <w:contextualSpacing/>
    </w:pPr>
  </w:style>
  <w:style w:type="character" w:styleId="IntenseEmphasis">
    <w:name w:val="Intense Emphasis"/>
    <w:basedOn w:val="DefaultParagraphFont"/>
    <w:uiPriority w:val="21"/>
    <w:qFormat/>
    <w:rsid w:val="007D7143"/>
    <w:rPr>
      <w:i/>
      <w:iCs/>
      <w:color w:val="0F4761" w:themeColor="accent1" w:themeShade="BF"/>
    </w:rPr>
  </w:style>
  <w:style w:type="paragraph" w:styleId="IntenseQuote">
    <w:name w:val="Intense Quote"/>
    <w:basedOn w:val="Normal"/>
    <w:next w:val="Normal"/>
    <w:link w:val="IntenseQuoteChar"/>
    <w:uiPriority w:val="30"/>
    <w:qFormat/>
    <w:rsid w:val="007D7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143"/>
    <w:rPr>
      <w:i/>
      <w:iCs/>
      <w:color w:val="0F4761" w:themeColor="accent1" w:themeShade="BF"/>
    </w:rPr>
  </w:style>
  <w:style w:type="character" w:styleId="IntenseReference">
    <w:name w:val="Intense Reference"/>
    <w:basedOn w:val="DefaultParagraphFont"/>
    <w:uiPriority w:val="32"/>
    <w:qFormat/>
    <w:rsid w:val="007D7143"/>
    <w:rPr>
      <w:b/>
      <w:bCs/>
      <w:smallCaps/>
      <w:color w:val="0F4761" w:themeColor="accent1" w:themeShade="BF"/>
      <w:spacing w:val="5"/>
    </w:rPr>
  </w:style>
  <w:style w:type="character" w:styleId="Hyperlink">
    <w:name w:val="Hyperlink"/>
    <w:basedOn w:val="DefaultParagraphFont"/>
    <w:uiPriority w:val="99"/>
    <w:unhideWhenUsed/>
    <w:rsid w:val="007D7143"/>
    <w:rPr>
      <w:color w:val="467886" w:themeColor="hyperlink"/>
      <w:u w:val="single"/>
    </w:rPr>
  </w:style>
  <w:style w:type="character" w:styleId="CommentReference">
    <w:name w:val="annotation reference"/>
    <w:basedOn w:val="DefaultParagraphFont"/>
    <w:uiPriority w:val="99"/>
    <w:semiHidden/>
    <w:unhideWhenUsed/>
    <w:rsid w:val="007D7143"/>
    <w:rPr>
      <w:sz w:val="16"/>
      <w:szCs w:val="16"/>
    </w:rPr>
  </w:style>
  <w:style w:type="paragraph" w:styleId="CommentText">
    <w:name w:val="annotation text"/>
    <w:basedOn w:val="Normal"/>
    <w:link w:val="CommentTextChar"/>
    <w:uiPriority w:val="99"/>
    <w:unhideWhenUsed/>
    <w:rsid w:val="007D7143"/>
    <w:pPr>
      <w:spacing w:line="240" w:lineRule="auto"/>
    </w:pPr>
    <w:rPr>
      <w:sz w:val="20"/>
      <w:szCs w:val="20"/>
    </w:rPr>
  </w:style>
  <w:style w:type="character" w:customStyle="1" w:styleId="CommentTextChar">
    <w:name w:val="Comment Text Char"/>
    <w:basedOn w:val="DefaultParagraphFont"/>
    <w:link w:val="CommentText"/>
    <w:uiPriority w:val="99"/>
    <w:rsid w:val="007D7143"/>
    <w:rPr>
      <w:sz w:val="20"/>
      <w:szCs w:val="20"/>
      <w:lang w:val="es-ES"/>
    </w:rPr>
  </w:style>
  <w:style w:type="character" w:styleId="Mention">
    <w:name w:val="Mention"/>
    <w:basedOn w:val="DefaultParagraphFont"/>
    <w:uiPriority w:val="99"/>
    <w:unhideWhenUsed/>
    <w:rsid w:val="007D7143"/>
    <w:rPr>
      <w:color w:val="2B579A"/>
      <w:shd w:val="clear" w:color="auto" w:fill="E1DFDD"/>
    </w:rPr>
  </w:style>
  <w:style w:type="paragraph" w:customStyle="1" w:styleId="paragraph">
    <w:name w:val="paragraph"/>
    <w:basedOn w:val="Normal"/>
    <w:rsid w:val="007D714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7D7143"/>
  </w:style>
  <w:style w:type="character" w:customStyle="1" w:styleId="eop">
    <w:name w:val="eop"/>
    <w:basedOn w:val="DefaultParagraphFont"/>
    <w:rsid w:val="007D7143"/>
  </w:style>
  <w:style w:type="character" w:customStyle="1" w:styleId="ui-provider">
    <w:name w:val="ui-provider"/>
    <w:basedOn w:val="DefaultParagraphFont"/>
    <w:rsid w:val="007D7143"/>
  </w:style>
  <w:style w:type="character" w:styleId="UnresolvedMention">
    <w:name w:val="Unresolved Mention"/>
    <w:basedOn w:val="DefaultParagraphFont"/>
    <w:uiPriority w:val="99"/>
    <w:semiHidden/>
    <w:unhideWhenUsed/>
    <w:rsid w:val="007D7143"/>
    <w:rPr>
      <w:color w:val="605E5C"/>
      <w:shd w:val="clear" w:color="auto" w:fill="E1DFDD"/>
    </w:rPr>
  </w:style>
  <w:style w:type="character" w:styleId="FollowedHyperlink">
    <w:name w:val="FollowedHyperlink"/>
    <w:basedOn w:val="DefaultParagraphFont"/>
    <w:uiPriority w:val="99"/>
    <w:semiHidden/>
    <w:unhideWhenUsed/>
    <w:rsid w:val="00815B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3562">
      <w:bodyDiv w:val="1"/>
      <w:marLeft w:val="0"/>
      <w:marRight w:val="0"/>
      <w:marTop w:val="0"/>
      <w:marBottom w:val="0"/>
      <w:divBdr>
        <w:top w:val="none" w:sz="0" w:space="0" w:color="auto"/>
        <w:left w:val="none" w:sz="0" w:space="0" w:color="auto"/>
        <w:bottom w:val="none" w:sz="0" w:space="0" w:color="auto"/>
        <w:right w:val="none" w:sz="0" w:space="0" w:color="auto"/>
      </w:divBdr>
    </w:div>
    <w:div w:id="221600127">
      <w:bodyDiv w:val="1"/>
      <w:marLeft w:val="0"/>
      <w:marRight w:val="0"/>
      <w:marTop w:val="0"/>
      <w:marBottom w:val="0"/>
      <w:divBdr>
        <w:top w:val="none" w:sz="0" w:space="0" w:color="auto"/>
        <w:left w:val="none" w:sz="0" w:space="0" w:color="auto"/>
        <w:bottom w:val="none" w:sz="0" w:space="0" w:color="auto"/>
        <w:right w:val="none" w:sz="0" w:space="0" w:color="auto"/>
      </w:divBdr>
    </w:div>
    <w:div w:id="183536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org/es/msc.org/area-empresas/pesquerias/paises-en-desarrollo-y-pequena-escala" TargetMode="External"/><Relationship Id="rId13" Type="http://schemas.openxmlformats.org/officeDocument/2006/relationships/hyperlink" Target="https://www.fao.org/3/cc8888en/cc8888en.pdf"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inkedin.com/company/marine-stewardship-council" TargetMode="External"/><Relationship Id="rId7" Type="http://schemas.openxmlformats.org/officeDocument/2006/relationships/hyperlink" Target="https://www.msc.org/es/que-hacemos/nuestro-enfoque/que-significa-el-sello-azul-de-msc" TargetMode="External"/><Relationship Id="rId12" Type="http://schemas.openxmlformats.org/officeDocument/2006/relationships/hyperlink" Target="https://www.eventbrite.co.uk/e/entradas-un-ocean-decade-conference-restoring-european-seas-861606988697?aff=oddtdtcreator" TargetMode="External"/><Relationship Id="rId17" Type="http://schemas.openxmlformats.org/officeDocument/2006/relationships/hyperlink" Target="https://www.instagram.com/mscenespan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msc.org/docs/default-source/default-document-library/what-we-are-doing/msc-medpath-impact-report-2024.pdf" TargetMode="External"/><Relationship Id="rId11" Type="http://schemas.openxmlformats.org/officeDocument/2006/relationships/hyperlink" Target="https://oceandecade-conference.com/off-site-satellite-events.php" TargetMode="External"/><Relationship Id="rId24"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twitter.com/MSCenEspana" TargetMode="External"/><Relationship Id="rId23" Type="http://schemas.openxmlformats.org/officeDocument/2006/relationships/hyperlink" Target="https://www.youtube.com/channel/UCxeHwj-AFX3OKBYefwYEaUw" TargetMode="External"/><Relationship Id="rId10" Type="http://schemas.openxmlformats.org/officeDocument/2006/relationships/hyperlink" Target="https://reports.project-medfish.com/es" TargetMode="External"/><Relationship Id="rId19" Type="http://schemas.openxmlformats.org/officeDocument/2006/relationships/hyperlink" Target="https://www.facebook.com/MSCenEspana/" TargetMode="External"/><Relationship Id="rId4" Type="http://schemas.openxmlformats.org/officeDocument/2006/relationships/webSettings" Target="webSettings.xml"/><Relationship Id="rId9" Type="http://schemas.openxmlformats.org/officeDocument/2006/relationships/hyperlink" Target="http://www.project-medfish.com/es/" TargetMode="External"/><Relationship Id="rId14" Type="http://schemas.openxmlformats.org/officeDocument/2006/relationships/hyperlink" Target="http://msc.org/"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1756</Words>
  <Characters>10014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Asun Talavera</dc:creator>
  <cp:keywords/>
  <dc:description/>
  <cp:lastModifiedBy>Asun Talavera</cp:lastModifiedBy>
  <cp:revision>73</cp:revision>
  <dcterms:created xsi:type="dcterms:W3CDTF">2024-04-02T10:47:00Z</dcterms:created>
  <dcterms:modified xsi:type="dcterms:W3CDTF">2024-04-04T10:09:00Z</dcterms:modified>
</cp:coreProperties>
</file>