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4"/>
      </w:tblGrid>
      <w:tr w:rsidR="00F37C4D" w14:paraId="682C6CAF" w14:textId="08734FDE" w:rsidTr="00F37C4D">
        <w:tc>
          <w:tcPr>
            <w:tcW w:w="1667" w:type="pct"/>
          </w:tcPr>
          <w:p w14:paraId="584CCAC4" w14:textId="77777777" w:rsidR="00F37C4D" w:rsidRPr="00E16509" w:rsidRDefault="00F37C4D" w:rsidP="009C5F0A">
            <w:pPr>
              <w:rPr>
                <w:noProof/>
                <w:sz w:val="16"/>
                <w:szCs w:val="16"/>
              </w:rPr>
            </w:pPr>
          </w:p>
          <w:p w14:paraId="7F7CDC9E" w14:textId="17656672" w:rsidR="00F37C4D" w:rsidRDefault="007C1E1B" w:rsidP="009C5F0A">
            <w:pPr>
              <w:rPr>
                <w:color w:val="1F4E79" w:themeColor="accent5" w:themeShade="80"/>
              </w:rPr>
            </w:pPr>
            <w:r>
              <w:rPr>
                <w:noProof/>
                <w:color w:val="1F4E79" w:themeColor="accent5" w:themeShade="80"/>
              </w:rPr>
              <w:drawing>
                <wp:inline distT="0" distB="0" distL="0" distR="0" wp14:anchorId="2817EA5F" wp14:editId="591C8689">
                  <wp:extent cx="1501816" cy="1002999"/>
                  <wp:effectExtent l="0" t="0" r="3175" b="698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08042" cy="1007157"/>
                          </a:xfrm>
                          <a:prstGeom prst="rect">
                            <a:avLst/>
                          </a:prstGeom>
                        </pic:spPr>
                      </pic:pic>
                    </a:graphicData>
                  </a:graphic>
                </wp:inline>
              </w:drawing>
            </w:r>
          </w:p>
        </w:tc>
        <w:tc>
          <w:tcPr>
            <w:tcW w:w="1667" w:type="pct"/>
          </w:tcPr>
          <w:p w14:paraId="7EFC9CE1" w14:textId="1BD29D3D" w:rsidR="00F37C4D" w:rsidRDefault="00F37C4D" w:rsidP="00C95DF2">
            <w:pPr>
              <w:jc w:val="center"/>
              <w:rPr>
                <w:noProof/>
              </w:rPr>
            </w:pPr>
          </w:p>
          <w:p w14:paraId="74288D62" w14:textId="22B30164" w:rsidR="00F37C4D" w:rsidRDefault="00F37C4D" w:rsidP="00C95DF2">
            <w:pPr>
              <w:jc w:val="center"/>
              <w:rPr>
                <w:color w:val="1F4E79" w:themeColor="accent5" w:themeShade="80"/>
              </w:rPr>
            </w:pPr>
          </w:p>
        </w:tc>
        <w:tc>
          <w:tcPr>
            <w:tcW w:w="1667" w:type="pct"/>
          </w:tcPr>
          <w:p w14:paraId="4ACBA894" w14:textId="196D3890" w:rsidR="00F37C4D" w:rsidRDefault="00D863D7" w:rsidP="00C95DF2">
            <w:pPr>
              <w:jc w:val="center"/>
              <w:rPr>
                <w:noProof/>
              </w:rPr>
            </w:pPr>
            <w:r>
              <w:rPr>
                <w:rFonts w:ascii="Arial" w:eastAsia="Times New Roman" w:hAnsi="Arial" w:cs="Arial"/>
                <w:b/>
                <w:bCs/>
                <w:noProof/>
                <w:color w:val="000000"/>
              </w:rPr>
              <w:drawing>
                <wp:inline distT="0" distB="0" distL="0" distR="0" wp14:anchorId="4C88B404" wp14:editId="16325E81">
                  <wp:extent cx="1333323" cy="95999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44382" cy="967955"/>
                          </a:xfrm>
                          <a:prstGeom prst="rect">
                            <a:avLst/>
                          </a:prstGeom>
                          <a:noFill/>
                          <a:ln>
                            <a:noFill/>
                          </a:ln>
                        </pic:spPr>
                      </pic:pic>
                    </a:graphicData>
                  </a:graphic>
                </wp:inline>
              </w:drawing>
            </w:r>
          </w:p>
        </w:tc>
      </w:tr>
    </w:tbl>
    <w:p w14:paraId="0B525A6E" w14:textId="77777777" w:rsidR="001F5377" w:rsidRDefault="001F5377" w:rsidP="00ED5A5A">
      <w:pPr>
        <w:jc w:val="both"/>
        <w:rPr>
          <w:color w:val="1F4E79" w:themeColor="accent5" w:themeShade="80"/>
        </w:rPr>
      </w:pPr>
    </w:p>
    <w:p w14:paraId="7163F42B" w14:textId="77777777" w:rsidR="00ED5A5A" w:rsidRPr="007C1E1B" w:rsidRDefault="00ED5A5A" w:rsidP="00B9106E">
      <w:pPr>
        <w:spacing w:after="0"/>
        <w:jc w:val="both"/>
        <w:rPr>
          <w:rFonts w:ascii="Arial" w:hAnsi="Arial" w:cs="Arial"/>
          <w:b/>
          <w:bCs/>
          <w:color w:val="1F4E79"/>
          <w:sz w:val="24"/>
          <w:szCs w:val="24"/>
        </w:rPr>
      </w:pPr>
      <w:r w:rsidRPr="007C1E1B">
        <w:rPr>
          <w:rFonts w:ascii="Arial" w:hAnsi="Arial" w:cs="Arial"/>
          <w:b/>
          <w:bCs/>
          <w:color w:val="1F4E79"/>
          <w:sz w:val="24"/>
          <w:szCs w:val="24"/>
        </w:rPr>
        <w:t xml:space="preserve">Nota de prensa </w:t>
      </w:r>
    </w:p>
    <w:p w14:paraId="229AF708" w14:textId="42B9EC2A" w:rsidR="00ED5A5A" w:rsidRPr="007C1E1B" w:rsidRDefault="007628F2" w:rsidP="00ED5A5A">
      <w:pPr>
        <w:jc w:val="both"/>
        <w:rPr>
          <w:rFonts w:ascii="Arial" w:hAnsi="Arial" w:cs="Arial"/>
          <w:b/>
          <w:bCs/>
          <w:color w:val="1F4E79"/>
          <w:sz w:val="24"/>
          <w:szCs w:val="24"/>
        </w:rPr>
      </w:pPr>
      <w:r>
        <w:rPr>
          <w:rFonts w:ascii="Arial" w:hAnsi="Arial" w:cs="Arial"/>
          <w:b/>
          <w:bCs/>
          <w:color w:val="1F4E79"/>
          <w:sz w:val="24"/>
          <w:szCs w:val="24"/>
        </w:rPr>
        <w:t>31 d</w:t>
      </w:r>
      <w:r w:rsidR="00ED5A5A" w:rsidRPr="007C1E1B">
        <w:rPr>
          <w:rFonts w:ascii="Arial" w:hAnsi="Arial" w:cs="Arial"/>
          <w:b/>
          <w:bCs/>
          <w:color w:val="1F4E79"/>
          <w:sz w:val="24"/>
          <w:szCs w:val="24"/>
        </w:rPr>
        <w:t xml:space="preserve">e </w:t>
      </w:r>
      <w:proofErr w:type="gramStart"/>
      <w:r>
        <w:rPr>
          <w:rFonts w:ascii="Arial" w:hAnsi="Arial" w:cs="Arial"/>
          <w:b/>
          <w:bCs/>
          <w:color w:val="1F4E79"/>
          <w:sz w:val="24"/>
          <w:szCs w:val="24"/>
        </w:rPr>
        <w:t>Enero</w:t>
      </w:r>
      <w:proofErr w:type="gramEnd"/>
      <w:r>
        <w:rPr>
          <w:rFonts w:ascii="Arial" w:hAnsi="Arial" w:cs="Arial"/>
          <w:b/>
          <w:bCs/>
          <w:color w:val="1F4E79"/>
          <w:sz w:val="24"/>
          <w:szCs w:val="24"/>
        </w:rPr>
        <w:t xml:space="preserve"> </w:t>
      </w:r>
      <w:r w:rsidR="00ED5A5A" w:rsidRPr="007C1E1B">
        <w:rPr>
          <w:rFonts w:ascii="Arial" w:hAnsi="Arial" w:cs="Arial"/>
          <w:b/>
          <w:bCs/>
          <w:color w:val="1F4E79"/>
          <w:sz w:val="24"/>
          <w:szCs w:val="24"/>
        </w:rPr>
        <w:t>de 202</w:t>
      </w:r>
      <w:r>
        <w:rPr>
          <w:rFonts w:ascii="Arial" w:hAnsi="Arial" w:cs="Arial"/>
          <w:b/>
          <w:bCs/>
          <w:color w:val="1F4E79"/>
          <w:sz w:val="24"/>
          <w:szCs w:val="24"/>
        </w:rPr>
        <w:t>4</w:t>
      </w:r>
      <w:r w:rsidR="00ED5A5A" w:rsidRPr="007C1E1B">
        <w:rPr>
          <w:rFonts w:ascii="Arial" w:hAnsi="Arial" w:cs="Arial"/>
          <w:b/>
          <w:bCs/>
          <w:color w:val="1F4E79"/>
          <w:sz w:val="24"/>
          <w:szCs w:val="24"/>
        </w:rPr>
        <w:t xml:space="preserve"> </w:t>
      </w:r>
    </w:p>
    <w:p w14:paraId="490BF88A" w14:textId="77777777" w:rsidR="00341BFD" w:rsidRDefault="00341BFD" w:rsidP="00ED5A5A">
      <w:pPr>
        <w:jc w:val="center"/>
        <w:rPr>
          <w:rFonts w:ascii="Arial" w:hAnsi="Arial" w:cs="Arial"/>
          <w:b/>
          <w:color w:val="1F4E79" w:themeColor="accent5" w:themeShade="80"/>
          <w:sz w:val="40"/>
          <w:szCs w:val="40"/>
        </w:rPr>
      </w:pPr>
    </w:p>
    <w:p w14:paraId="2E03A67B" w14:textId="7565890E" w:rsidR="00ED5A5A" w:rsidRDefault="00C7269C" w:rsidP="660B5ED9">
      <w:pPr>
        <w:jc w:val="center"/>
        <w:rPr>
          <w:rFonts w:ascii="Arial" w:hAnsi="Arial" w:cs="Arial"/>
          <w:b/>
          <w:bCs/>
          <w:color w:val="1F4E79"/>
          <w:sz w:val="40"/>
          <w:szCs w:val="40"/>
        </w:rPr>
      </w:pPr>
      <w:r w:rsidRPr="660B5ED9">
        <w:rPr>
          <w:rFonts w:ascii="Arial" w:hAnsi="Arial" w:cs="Arial"/>
          <w:b/>
          <w:bCs/>
          <w:color w:val="1F4E79" w:themeColor="accent5" w:themeShade="80"/>
          <w:sz w:val="40"/>
          <w:szCs w:val="40"/>
        </w:rPr>
        <w:t>A</w:t>
      </w:r>
      <w:r w:rsidR="007C1E1B" w:rsidRPr="660B5ED9">
        <w:rPr>
          <w:rFonts w:ascii="Arial" w:hAnsi="Arial" w:cs="Arial"/>
          <w:b/>
          <w:bCs/>
          <w:color w:val="1F4E79" w:themeColor="accent5" w:themeShade="80"/>
          <w:sz w:val="40"/>
          <w:szCs w:val="40"/>
        </w:rPr>
        <w:t xml:space="preserve">GAC </w:t>
      </w:r>
      <w:r w:rsidRPr="660B5ED9">
        <w:rPr>
          <w:rFonts w:ascii="Arial" w:hAnsi="Arial" w:cs="Arial"/>
          <w:b/>
          <w:bCs/>
          <w:color w:val="1F4E79" w:themeColor="accent5" w:themeShade="80"/>
          <w:sz w:val="40"/>
          <w:szCs w:val="40"/>
        </w:rPr>
        <w:t>logra</w:t>
      </w:r>
      <w:r w:rsidR="00ED5A5A" w:rsidRPr="660B5ED9">
        <w:rPr>
          <w:rFonts w:ascii="Arial" w:hAnsi="Arial" w:cs="Arial"/>
          <w:b/>
          <w:bCs/>
          <w:color w:val="1F4E79" w:themeColor="accent5" w:themeShade="80"/>
          <w:sz w:val="40"/>
          <w:szCs w:val="40"/>
        </w:rPr>
        <w:t xml:space="preserve"> la certificación M</w:t>
      </w:r>
      <w:r w:rsidR="00FE44EA" w:rsidRPr="660B5ED9">
        <w:rPr>
          <w:rFonts w:ascii="Arial" w:hAnsi="Arial" w:cs="Arial"/>
          <w:b/>
          <w:bCs/>
          <w:color w:val="1F4E79" w:themeColor="accent5" w:themeShade="80"/>
          <w:sz w:val="40"/>
          <w:szCs w:val="40"/>
        </w:rPr>
        <w:t xml:space="preserve">arine </w:t>
      </w:r>
      <w:r w:rsidR="00ED5A5A" w:rsidRPr="660B5ED9">
        <w:rPr>
          <w:rFonts w:ascii="Arial" w:hAnsi="Arial" w:cs="Arial"/>
          <w:b/>
          <w:bCs/>
          <w:color w:val="1F4E79" w:themeColor="accent5" w:themeShade="80"/>
          <w:sz w:val="40"/>
          <w:szCs w:val="40"/>
        </w:rPr>
        <w:t>S</w:t>
      </w:r>
      <w:r w:rsidR="00FE44EA" w:rsidRPr="660B5ED9">
        <w:rPr>
          <w:rFonts w:ascii="Arial" w:hAnsi="Arial" w:cs="Arial"/>
          <w:b/>
          <w:bCs/>
          <w:color w:val="1F4E79" w:themeColor="accent5" w:themeShade="80"/>
          <w:sz w:val="40"/>
          <w:szCs w:val="40"/>
        </w:rPr>
        <w:t xml:space="preserve">tewardship </w:t>
      </w:r>
      <w:r w:rsidR="00ED5A5A" w:rsidRPr="660B5ED9">
        <w:rPr>
          <w:rFonts w:ascii="Arial" w:hAnsi="Arial" w:cs="Arial"/>
          <w:b/>
          <w:bCs/>
          <w:color w:val="1F4E79" w:themeColor="accent5" w:themeShade="80"/>
          <w:sz w:val="40"/>
          <w:szCs w:val="40"/>
        </w:rPr>
        <w:t>C</w:t>
      </w:r>
      <w:r w:rsidR="00FE44EA" w:rsidRPr="660B5ED9">
        <w:rPr>
          <w:rFonts w:ascii="Arial" w:hAnsi="Arial" w:cs="Arial"/>
          <w:b/>
          <w:bCs/>
          <w:color w:val="1F4E79" w:themeColor="accent5" w:themeShade="80"/>
          <w:sz w:val="40"/>
          <w:szCs w:val="40"/>
        </w:rPr>
        <w:t>ouncil</w:t>
      </w:r>
      <w:r w:rsidR="00ED5A5A" w:rsidRPr="660B5ED9">
        <w:rPr>
          <w:rFonts w:ascii="Arial" w:hAnsi="Arial" w:cs="Arial"/>
          <w:b/>
          <w:bCs/>
          <w:color w:val="1F4E79" w:themeColor="accent5" w:themeShade="80"/>
          <w:sz w:val="40"/>
          <w:szCs w:val="40"/>
        </w:rPr>
        <w:t xml:space="preserve"> para </w:t>
      </w:r>
      <w:r w:rsidR="00655BD8" w:rsidRPr="660B5ED9">
        <w:rPr>
          <w:rFonts w:ascii="Arial" w:hAnsi="Arial" w:cs="Arial"/>
          <w:b/>
          <w:bCs/>
          <w:color w:val="1F4E79" w:themeColor="accent5" w:themeShade="80"/>
          <w:sz w:val="40"/>
          <w:szCs w:val="40"/>
        </w:rPr>
        <w:t xml:space="preserve">el </w:t>
      </w:r>
      <w:r w:rsidR="00ED5A5A" w:rsidRPr="660B5ED9">
        <w:rPr>
          <w:rFonts w:ascii="Arial" w:hAnsi="Arial" w:cs="Arial"/>
          <w:b/>
          <w:bCs/>
          <w:color w:val="1F4E79" w:themeColor="accent5" w:themeShade="80"/>
          <w:sz w:val="40"/>
          <w:szCs w:val="40"/>
        </w:rPr>
        <w:t xml:space="preserve">atún </w:t>
      </w:r>
      <w:r w:rsidR="00F265DD" w:rsidRPr="660B5ED9">
        <w:rPr>
          <w:rFonts w:ascii="Arial" w:hAnsi="Arial" w:cs="Arial"/>
          <w:b/>
          <w:bCs/>
          <w:color w:val="1F4E79" w:themeColor="accent5" w:themeShade="80"/>
          <w:sz w:val="40"/>
          <w:szCs w:val="40"/>
        </w:rPr>
        <w:t>listado del Oc</w:t>
      </w:r>
      <w:r w:rsidR="2594A48E" w:rsidRPr="660B5ED9">
        <w:rPr>
          <w:rFonts w:ascii="Arial" w:hAnsi="Arial" w:cs="Arial"/>
          <w:b/>
          <w:bCs/>
          <w:color w:val="1F4E79" w:themeColor="accent5" w:themeShade="80"/>
          <w:sz w:val="40"/>
          <w:szCs w:val="40"/>
        </w:rPr>
        <w:t>éa</w:t>
      </w:r>
      <w:r w:rsidR="00F265DD" w:rsidRPr="660B5ED9">
        <w:rPr>
          <w:rFonts w:ascii="Arial" w:hAnsi="Arial" w:cs="Arial"/>
          <w:b/>
          <w:bCs/>
          <w:color w:val="1F4E79" w:themeColor="accent5" w:themeShade="80"/>
          <w:sz w:val="40"/>
          <w:szCs w:val="40"/>
        </w:rPr>
        <w:t xml:space="preserve">no Pacífico Oriental </w:t>
      </w:r>
    </w:p>
    <w:p w14:paraId="1284C20C" w14:textId="6142BEDE" w:rsidR="00F265DD" w:rsidRDefault="00F265DD" w:rsidP="660B5ED9">
      <w:pPr>
        <w:jc w:val="center"/>
        <w:rPr>
          <w:rFonts w:ascii="Arial" w:hAnsi="Arial" w:cs="Arial"/>
          <w:b/>
          <w:bCs/>
          <w:color w:val="1F4E79" w:themeColor="accent5" w:themeShade="80"/>
          <w:sz w:val="24"/>
          <w:szCs w:val="24"/>
        </w:rPr>
      </w:pPr>
      <w:r w:rsidRPr="660B5ED9">
        <w:rPr>
          <w:rFonts w:ascii="Arial" w:hAnsi="Arial" w:cs="Arial"/>
          <w:b/>
          <w:bCs/>
          <w:color w:val="1F4E79" w:themeColor="accent5" w:themeShade="80"/>
          <w:sz w:val="24"/>
          <w:szCs w:val="24"/>
        </w:rPr>
        <w:t xml:space="preserve">Primera pesquería en el mundo que consigue certificar el atún listado en tres </w:t>
      </w:r>
      <w:r w:rsidR="00CA4558" w:rsidRPr="660B5ED9">
        <w:rPr>
          <w:rFonts w:ascii="Arial" w:hAnsi="Arial" w:cs="Arial"/>
          <w:b/>
          <w:bCs/>
          <w:color w:val="1F4E79" w:themeColor="accent5" w:themeShade="80"/>
          <w:sz w:val="24"/>
          <w:szCs w:val="24"/>
        </w:rPr>
        <w:t xml:space="preserve">regiones oceánicas </w:t>
      </w:r>
      <w:r w:rsidRPr="660B5ED9">
        <w:rPr>
          <w:rFonts w:ascii="Arial" w:hAnsi="Arial" w:cs="Arial"/>
          <w:b/>
          <w:bCs/>
          <w:color w:val="1F4E79" w:themeColor="accent5" w:themeShade="80"/>
          <w:sz w:val="24"/>
          <w:szCs w:val="24"/>
        </w:rPr>
        <w:t>distint</w:t>
      </w:r>
      <w:r w:rsidR="00CA4558" w:rsidRPr="660B5ED9">
        <w:rPr>
          <w:rFonts w:ascii="Arial" w:hAnsi="Arial" w:cs="Arial"/>
          <w:b/>
          <w:bCs/>
          <w:color w:val="1F4E79" w:themeColor="accent5" w:themeShade="80"/>
          <w:sz w:val="24"/>
          <w:szCs w:val="24"/>
        </w:rPr>
        <w:t>a</w:t>
      </w:r>
      <w:r w:rsidRPr="660B5ED9">
        <w:rPr>
          <w:rFonts w:ascii="Arial" w:hAnsi="Arial" w:cs="Arial"/>
          <w:b/>
          <w:bCs/>
          <w:color w:val="1F4E79" w:themeColor="accent5" w:themeShade="80"/>
          <w:sz w:val="24"/>
          <w:szCs w:val="24"/>
        </w:rPr>
        <w:t>s</w:t>
      </w:r>
      <w:r w:rsidR="000B0E3B" w:rsidRPr="660B5ED9">
        <w:rPr>
          <w:rFonts w:ascii="Arial" w:hAnsi="Arial" w:cs="Arial"/>
          <w:b/>
          <w:bCs/>
          <w:color w:val="1F4E79" w:themeColor="accent5" w:themeShade="80"/>
          <w:sz w:val="24"/>
          <w:szCs w:val="24"/>
        </w:rPr>
        <w:t>.</w:t>
      </w:r>
    </w:p>
    <w:p w14:paraId="4937CC0D" w14:textId="7327DB06" w:rsidR="64BB44CB" w:rsidRDefault="64BB44CB" w:rsidP="660B5ED9">
      <w:pPr>
        <w:jc w:val="center"/>
        <w:rPr>
          <w:rFonts w:ascii="Arial" w:hAnsi="Arial" w:cs="Arial"/>
          <w:b/>
          <w:bCs/>
          <w:color w:val="1F4E79" w:themeColor="accent5" w:themeShade="80"/>
          <w:sz w:val="24"/>
          <w:szCs w:val="24"/>
        </w:rPr>
      </w:pPr>
      <w:r w:rsidRPr="660B5ED9">
        <w:rPr>
          <w:rFonts w:ascii="Arial" w:hAnsi="Arial" w:cs="Arial"/>
          <w:b/>
          <w:bCs/>
          <w:color w:val="1F4E79" w:themeColor="accent5" w:themeShade="80"/>
          <w:sz w:val="24"/>
          <w:szCs w:val="24"/>
        </w:rPr>
        <w:t xml:space="preserve">Con esta certificación, AGAC </w:t>
      </w:r>
      <w:r w:rsidR="7D38E00C" w:rsidRPr="660B5ED9">
        <w:rPr>
          <w:rFonts w:ascii="Arial" w:hAnsi="Arial" w:cs="Arial"/>
          <w:b/>
          <w:bCs/>
          <w:color w:val="1F4E79" w:themeColor="accent5" w:themeShade="80"/>
          <w:sz w:val="24"/>
          <w:szCs w:val="24"/>
        </w:rPr>
        <w:t>supera las</w:t>
      </w:r>
      <w:r w:rsidRPr="660B5ED9">
        <w:rPr>
          <w:rFonts w:ascii="Arial" w:hAnsi="Arial" w:cs="Arial"/>
          <w:b/>
          <w:bCs/>
          <w:color w:val="1F4E79" w:themeColor="accent5" w:themeShade="80"/>
          <w:sz w:val="24"/>
          <w:szCs w:val="24"/>
        </w:rPr>
        <w:t xml:space="preserve"> 245 000 t</w:t>
      </w:r>
      <w:r w:rsidR="26165F9A" w:rsidRPr="660B5ED9">
        <w:rPr>
          <w:rFonts w:ascii="Arial" w:hAnsi="Arial" w:cs="Arial"/>
          <w:b/>
          <w:bCs/>
          <w:color w:val="1F4E79" w:themeColor="accent5" w:themeShade="80"/>
          <w:sz w:val="24"/>
          <w:szCs w:val="24"/>
        </w:rPr>
        <w:t>oneladas</w:t>
      </w:r>
      <w:r w:rsidRPr="660B5ED9">
        <w:rPr>
          <w:rFonts w:ascii="Arial" w:hAnsi="Arial" w:cs="Arial"/>
          <w:b/>
          <w:bCs/>
          <w:color w:val="1F4E79" w:themeColor="accent5" w:themeShade="80"/>
          <w:sz w:val="24"/>
          <w:szCs w:val="24"/>
        </w:rPr>
        <w:t xml:space="preserve"> de atún certificadas bajo el estándar de pesca sostenible de MSC.</w:t>
      </w:r>
    </w:p>
    <w:p w14:paraId="022E3864" w14:textId="1404C2D5" w:rsidR="00F552B1" w:rsidRDefault="00F552B1" w:rsidP="00A27CB6">
      <w:pPr>
        <w:jc w:val="both"/>
        <w:rPr>
          <w:rFonts w:ascii="Arial" w:hAnsi="Arial" w:cs="Arial"/>
        </w:rPr>
      </w:pPr>
      <w:r>
        <w:rPr>
          <w:rFonts w:ascii="Arial" w:hAnsi="Arial" w:cs="Arial"/>
        </w:rPr>
        <w:t>L</w:t>
      </w:r>
      <w:r w:rsidRPr="005B72A9">
        <w:rPr>
          <w:rFonts w:ascii="Arial" w:hAnsi="Arial" w:cs="Arial"/>
        </w:rPr>
        <w:t xml:space="preserve">a </w:t>
      </w:r>
      <w:r>
        <w:rPr>
          <w:rFonts w:ascii="Arial" w:hAnsi="Arial" w:cs="Arial"/>
        </w:rPr>
        <w:t xml:space="preserve">Asociación de Grandes Atuneros Congeladores </w:t>
      </w:r>
      <w:r w:rsidRPr="005B72A9">
        <w:rPr>
          <w:rFonts w:ascii="Arial" w:hAnsi="Arial" w:cs="Arial"/>
        </w:rPr>
        <w:t>(A</w:t>
      </w:r>
      <w:r>
        <w:rPr>
          <w:rFonts w:ascii="Arial" w:hAnsi="Arial" w:cs="Arial"/>
        </w:rPr>
        <w:t>GAC</w:t>
      </w:r>
      <w:r w:rsidRPr="005B72A9">
        <w:rPr>
          <w:rFonts w:ascii="Arial" w:hAnsi="Arial" w:cs="Arial"/>
        </w:rPr>
        <w:t xml:space="preserve">) ha obtenido la certificación MSC para su atún </w:t>
      </w:r>
      <w:r>
        <w:rPr>
          <w:rFonts w:ascii="Arial" w:hAnsi="Arial" w:cs="Arial"/>
        </w:rPr>
        <w:t xml:space="preserve">listado </w:t>
      </w:r>
      <w:r w:rsidRPr="005B72A9">
        <w:rPr>
          <w:rFonts w:ascii="Arial" w:hAnsi="Arial" w:cs="Arial"/>
        </w:rPr>
        <w:t>(</w:t>
      </w:r>
      <w:proofErr w:type="spellStart"/>
      <w:r w:rsidR="00A27CB6" w:rsidRPr="00A27CB6">
        <w:rPr>
          <w:rFonts w:ascii="Arial" w:hAnsi="Arial" w:cs="Arial"/>
          <w:i/>
          <w:iCs/>
        </w:rPr>
        <w:t>Katsuwonus</w:t>
      </w:r>
      <w:proofErr w:type="spellEnd"/>
      <w:r w:rsidR="00A27CB6" w:rsidRPr="00A27CB6">
        <w:rPr>
          <w:rFonts w:ascii="Arial" w:hAnsi="Arial" w:cs="Arial"/>
          <w:i/>
          <w:iCs/>
        </w:rPr>
        <w:t xml:space="preserve"> </w:t>
      </w:r>
      <w:proofErr w:type="spellStart"/>
      <w:r w:rsidR="00A27CB6" w:rsidRPr="00A27CB6">
        <w:rPr>
          <w:rFonts w:ascii="Arial" w:hAnsi="Arial" w:cs="Arial"/>
          <w:i/>
          <w:iCs/>
        </w:rPr>
        <w:t>pelamis</w:t>
      </w:r>
      <w:proofErr w:type="spellEnd"/>
      <w:r w:rsidRPr="005B72A9">
        <w:rPr>
          <w:rFonts w:ascii="Arial" w:hAnsi="Arial" w:cs="Arial"/>
        </w:rPr>
        <w:t xml:space="preserve">) </w:t>
      </w:r>
      <w:r w:rsidR="00A27CB6">
        <w:rPr>
          <w:rFonts w:ascii="Arial" w:hAnsi="Arial" w:cs="Arial"/>
        </w:rPr>
        <w:t>para todas sus modalidades de pesca</w:t>
      </w:r>
      <w:r w:rsidR="00CA4558">
        <w:rPr>
          <w:rFonts w:ascii="Arial" w:hAnsi="Arial" w:cs="Arial"/>
        </w:rPr>
        <w:t>,</w:t>
      </w:r>
      <w:r w:rsidR="00A27CB6">
        <w:rPr>
          <w:rFonts w:ascii="Arial" w:hAnsi="Arial" w:cs="Arial"/>
        </w:rPr>
        <w:t xml:space="preserve"> tanto </w:t>
      </w:r>
      <w:r>
        <w:rPr>
          <w:rFonts w:ascii="Arial" w:hAnsi="Arial" w:cs="Arial"/>
        </w:rPr>
        <w:t>con dispositivos de agregación de peces (</w:t>
      </w:r>
      <w:proofErr w:type="spellStart"/>
      <w:r>
        <w:rPr>
          <w:rFonts w:ascii="Arial" w:hAnsi="Arial" w:cs="Arial"/>
        </w:rPr>
        <w:t>DCPs</w:t>
      </w:r>
      <w:proofErr w:type="spellEnd"/>
      <w:r>
        <w:rPr>
          <w:rFonts w:ascii="Arial" w:hAnsi="Arial" w:cs="Arial"/>
        </w:rPr>
        <w:t xml:space="preserve"> o FADs por sus siglas en inglés)</w:t>
      </w:r>
      <w:r w:rsidR="00A27CB6">
        <w:rPr>
          <w:rFonts w:ascii="Arial" w:hAnsi="Arial" w:cs="Arial"/>
        </w:rPr>
        <w:t xml:space="preserve"> como a banco libre</w:t>
      </w:r>
      <w:r w:rsidR="000E7643">
        <w:rPr>
          <w:rFonts w:ascii="Arial" w:hAnsi="Arial" w:cs="Arial"/>
        </w:rPr>
        <w:t xml:space="preserve"> (</w:t>
      </w:r>
      <w:r w:rsidR="00714815">
        <w:rPr>
          <w:rFonts w:ascii="Arial" w:hAnsi="Arial" w:cs="Arial"/>
        </w:rPr>
        <w:t xml:space="preserve">free </w:t>
      </w:r>
      <w:proofErr w:type="spellStart"/>
      <w:r w:rsidR="00714815">
        <w:rPr>
          <w:rFonts w:ascii="Arial" w:hAnsi="Arial" w:cs="Arial"/>
        </w:rPr>
        <w:t>school</w:t>
      </w:r>
      <w:proofErr w:type="spellEnd"/>
      <w:r w:rsidR="000E7643">
        <w:rPr>
          <w:rFonts w:ascii="Arial" w:hAnsi="Arial" w:cs="Arial"/>
        </w:rPr>
        <w:t>)</w:t>
      </w:r>
      <w:r w:rsidR="00CA4558">
        <w:rPr>
          <w:rFonts w:ascii="Arial" w:hAnsi="Arial" w:cs="Arial"/>
        </w:rPr>
        <w:t>,</w:t>
      </w:r>
      <w:r w:rsidR="00A27CB6">
        <w:rPr>
          <w:rFonts w:ascii="Arial" w:hAnsi="Arial" w:cs="Arial"/>
        </w:rPr>
        <w:t xml:space="preserve"> en el pacífico oriental</w:t>
      </w:r>
      <w:r w:rsidR="002750A7">
        <w:rPr>
          <w:rFonts w:ascii="Arial" w:hAnsi="Arial" w:cs="Arial"/>
        </w:rPr>
        <w:t>.</w:t>
      </w:r>
      <w:r w:rsidR="002D1B4F">
        <w:rPr>
          <w:rFonts w:ascii="Arial" w:hAnsi="Arial" w:cs="Arial"/>
        </w:rPr>
        <w:t xml:space="preserve"> </w:t>
      </w:r>
    </w:p>
    <w:p w14:paraId="63A22A90" w14:textId="68A8C176" w:rsidR="00F30126" w:rsidRPr="00F30126" w:rsidRDefault="00F30126" w:rsidP="00A27CB6">
      <w:pPr>
        <w:jc w:val="both"/>
        <w:rPr>
          <w:rFonts w:ascii="Arial" w:hAnsi="Arial" w:cs="Arial"/>
          <w:color w:val="FF0000"/>
        </w:rPr>
      </w:pPr>
      <w:r w:rsidRPr="00F30126">
        <w:rPr>
          <w:rFonts w:ascii="Arial" w:hAnsi="Arial" w:cs="Arial"/>
        </w:rPr>
        <w:t xml:space="preserve">El atún </w:t>
      </w:r>
      <w:r>
        <w:rPr>
          <w:rFonts w:ascii="Arial" w:hAnsi="Arial" w:cs="Arial"/>
        </w:rPr>
        <w:t xml:space="preserve">listado </w:t>
      </w:r>
      <w:r w:rsidRPr="00F30126">
        <w:rPr>
          <w:rFonts w:ascii="Arial" w:hAnsi="Arial" w:cs="Arial"/>
        </w:rPr>
        <w:t>e</w:t>
      </w:r>
      <w:r w:rsidR="009A126C">
        <w:rPr>
          <w:rFonts w:ascii="Arial" w:hAnsi="Arial" w:cs="Arial"/>
        </w:rPr>
        <w:t>n esta región e</w:t>
      </w:r>
      <w:r w:rsidRPr="00F30126">
        <w:rPr>
          <w:rFonts w:ascii="Arial" w:hAnsi="Arial" w:cs="Arial"/>
        </w:rPr>
        <w:t>s capturado por</w:t>
      </w:r>
      <w:r w:rsidR="000A7FB7">
        <w:rPr>
          <w:rFonts w:ascii="Arial" w:hAnsi="Arial" w:cs="Arial"/>
        </w:rPr>
        <w:t xml:space="preserve"> 19 grandes cerqueros atuneros congeladores pertenecientes a l</w:t>
      </w:r>
      <w:r w:rsidR="00FD6554">
        <w:rPr>
          <w:rFonts w:ascii="Arial" w:hAnsi="Arial" w:cs="Arial"/>
        </w:rPr>
        <w:t xml:space="preserve">os grupos Albacora, Bolton Group, Servicios Atuneros del Norte, Pesquera </w:t>
      </w:r>
      <w:proofErr w:type="spellStart"/>
      <w:r w:rsidR="00FD6554">
        <w:rPr>
          <w:rFonts w:ascii="Arial" w:hAnsi="Arial" w:cs="Arial"/>
        </w:rPr>
        <w:t>Ugavi</w:t>
      </w:r>
      <w:proofErr w:type="spellEnd"/>
      <w:r w:rsidR="00A01BF5">
        <w:rPr>
          <w:rFonts w:ascii="Arial" w:hAnsi="Arial" w:cs="Arial"/>
        </w:rPr>
        <w:t xml:space="preserve">, </w:t>
      </w:r>
      <w:proofErr w:type="spellStart"/>
      <w:r w:rsidR="00A01BF5">
        <w:rPr>
          <w:rFonts w:ascii="Arial" w:hAnsi="Arial" w:cs="Arial"/>
        </w:rPr>
        <w:t>Uniocean</w:t>
      </w:r>
      <w:proofErr w:type="spellEnd"/>
      <w:r w:rsidR="00A01BF5">
        <w:rPr>
          <w:rFonts w:ascii="Arial" w:hAnsi="Arial" w:cs="Arial"/>
        </w:rPr>
        <w:t>, Central Tuna Management Corporation y Txopituna.</w:t>
      </w:r>
    </w:p>
    <w:p w14:paraId="3904E628" w14:textId="173B9AA1" w:rsidR="000B0E3B" w:rsidRDefault="000B0E3B" w:rsidP="004C3F86">
      <w:pPr>
        <w:jc w:val="both"/>
        <w:rPr>
          <w:rFonts w:ascii="Arial" w:hAnsi="Arial" w:cs="Arial"/>
        </w:rPr>
      </w:pPr>
      <w:r w:rsidRPr="660B5ED9">
        <w:rPr>
          <w:rFonts w:ascii="Arial" w:hAnsi="Arial" w:cs="Arial"/>
        </w:rPr>
        <w:t xml:space="preserve">Esta certificación proviene de una ampliación en el alcance </w:t>
      </w:r>
      <w:r w:rsidR="00AE0AD5" w:rsidRPr="660B5ED9">
        <w:rPr>
          <w:rFonts w:ascii="Arial" w:hAnsi="Arial" w:cs="Arial"/>
        </w:rPr>
        <w:t xml:space="preserve">de la certificación </w:t>
      </w:r>
      <w:r w:rsidRPr="660B5ED9">
        <w:rPr>
          <w:rFonts w:ascii="Arial" w:hAnsi="Arial" w:cs="Arial"/>
        </w:rPr>
        <w:t xml:space="preserve">que AGAC ya tenía para el atún </w:t>
      </w:r>
      <w:r w:rsidR="000E7643" w:rsidRPr="660B5ED9">
        <w:rPr>
          <w:rFonts w:ascii="Arial" w:hAnsi="Arial" w:cs="Arial"/>
        </w:rPr>
        <w:t>rabil</w:t>
      </w:r>
      <w:r w:rsidRPr="660B5ED9">
        <w:rPr>
          <w:rFonts w:ascii="Arial" w:hAnsi="Arial" w:cs="Arial"/>
        </w:rPr>
        <w:t xml:space="preserve"> del pacífico </w:t>
      </w:r>
      <w:r w:rsidR="002D1B4F" w:rsidRPr="660B5ED9">
        <w:rPr>
          <w:rFonts w:ascii="Arial" w:hAnsi="Arial" w:cs="Arial"/>
        </w:rPr>
        <w:t>o</w:t>
      </w:r>
      <w:r w:rsidRPr="660B5ED9">
        <w:rPr>
          <w:rFonts w:ascii="Arial" w:hAnsi="Arial" w:cs="Arial"/>
        </w:rPr>
        <w:t xml:space="preserve">riental. </w:t>
      </w:r>
      <w:r w:rsidR="002750A7" w:rsidRPr="660B5ED9">
        <w:rPr>
          <w:rFonts w:ascii="Arial" w:hAnsi="Arial" w:cs="Arial"/>
        </w:rPr>
        <w:t xml:space="preserve">Esta zona se encuentra gestionada por la Comisión Interamericana del Atún Tropical (CIAT), una de </w:t>
      </w:r>
      <w:r w:rsidR="6B345F10" w:rsidRPr="660B5ED9">
        <w:rPr>
          <w:rFonts w:ascii="Arial" w:hAnsi="Arial" w:cs="Arial"/>
        </w:rPr>
        <w:t>las cuatro organizaciones regionales</w:t>
      </w:r>
      <w:r w:rsidR="002750A7" w:rsidRPr="660B5ED9">
        <w:rPr>
          <w:rFonts w:ascii="Arial" w:hAnsi="Arial" w:cs="Arial"/>
        </w:rPr>
        <w:t xml:space="preserve"> de pesca (ORP) de túnidos</w:t>
      </w:r>
      <w:r w:rsidR="001256A3" w:rsidRPr="660B5ED9">
        <w:rPr>
          <w:rFonts w:ascii="Arial" w:hAnsi="Arial" w:cs="Arial"/>
        </w:rPr>
        <w:t xml:space="preserve"> tropicales</w:t>
      </w:r>
      <w:r w:rsidR="002750A7" w:rsidRPr="660B5ED9">
        <w:rPr>
          <w:rFonts w:ascii="Arial" w:hAnsi="Arial" w:cs="Arial"/>
        </w:rPr>
        <w:t>.</w:t>
      </w:r>
      <w:r w:rsidR="00535A60" w:rsidRPr="660B5ED9">
        <w:rPr>
          <w:rFonts w:ascii="Arial" w:hAnsi="Arial" w:cs="Arial"/>
        </w:rPr>
        <w:t xml:space="preserve"> AGAC c</w:t>
      </w:r>
      <w:r w:rsidRPr="660B5ED9">
        <w:rPr>
          <w:rFonts w:ascii="Arial" w:hAnsi="Arial" w:cs="Arial"/>
        </w:rPr>
        <w:t>onsigue de esta manera</w:t>
      </w:r>
      <w:r w:rsidR="001256A3" w:rsidRPr="660B5ED9">
        <w:rPr>
          <w:rFonts w:ascii="Arial" w:hAnsi="Arial" w:cs="Arial"/>
        </w:rPr>
        <w:t xml:space="preserve"> la</w:t>
      </w:r>
      <w:r w:rsidRPr="660B5ED9">
        <w:rPr>
          <w:rFonts w:ascii="Arial" w:hAnsi="Arial" w:cs="Arial"/>
        </w:rPr>
        <w:t xml:space="preserve"> certifica</w:t>
      </w:r>
      <w:r w:rsidR="001256A3" w:rsidRPr="660B5ED9">
        <w:rPr>
          <w:rFonts w:ascii="Arial" w:hAnsi="Arial" w:cs="Arial"/>
        </w:rPr>
        <w:t xml:space="preserve">ción </w:t>
      </w:r>
      <w:r w:rsidRPr="660B5ED9">
        <w:rPr>
          <w:rFonts w:ascii="Arial" w:hAnsi="Arial" w:cs="Arial"/>
        </w:rPr>
        <w:t xml:space="preserve">MSC </w:t>
      </w:r>
      <w:r w:rsidR="00447B35" w:rsidRPr="660B5ED9">
        <w:rPr>
          <w:rFonts w:ascii="Arial" w:hAnsi="Arial" w:cs="Arial"/>
        </w:rPr>
        <w:t xml:space="preserve">para </w:t>
      </w:r>
      <w:r w:rsidRPr="660B5ED9">
        <w:rPr>
          <w:rFonts w:ascii="Arial" w:hAnsi="Arial" w:cs="Arial"/>
        </w:rPr>
        <w:t xml:space="preserve">el atún </w:t>
      </w:r>
      <w:r w:rsidR="00535A60" w:rsidRPr="660B5ED9">
        <w:rPr>
          <w:rFonts w:ascii="Arial" w:hAnsi="Arial" w:cs="Arial"/>
        </w:rPr>
        <w:t>listado</w:t>
      </w:r>
      <w:r w:rsidRPr="660B5ED9">
        <w:rPr>
          <w:rFonts w:ascii="Arial" w:hAnsi="Arial" w:cs="Arial"/>
        </w:rPr>
        <w:t xml:space="preserve"> </w:t>
      </w:r>
      <w:r w:rsidR="00447B35" w:rsidRPr="660B5ED9">
        <w:rPr>
          <w:rFonts w:ascii="Arial" w:hAnsi="Arial" w:cs="Arial"/>
        </w:rPr>
        <w:t xml:space="preserve">en </w:t>
      </w:r>
      <w:r w:rsidR="00AE0AD5" w:rsidRPr="660B5ED9">
        <w:rPr>
          <w:rFonts w:ascii="Arial" w:hAnsi="Arial" w:cs="Arial"/>
        </w:rPr>
        <w:t>todo e</w:t>
      </w:r>
      <w:r w:rsidRPr="660B5ED9">
        <w:rPr>
          <w:rFonts w:ascii="Arial" w:hAnsi="Arial" w:cs="Arial"/>
        </w:rPr>
        <w:t>l pacífico</w:t>
      </w:r>
      <w:r w:rsidR="003F0FDD" w:rsidRPr="660B5ED9">
        <w:rPr>
          <w:rFonts w:ascii="Arial" w:hAnsi="Arial" w:cs="Arial"/>
        </w:rPr>
        <w:t xml:space="preserve"> y la certificación de</w:t>
      </w:r>
      <w:r w:rsidR="00AE0AD5" w:rsidRPr="660B5ED9">
        <w:rPr>
          <w:rFonts w:ascii="Arial" w:hAnsi="Arial" w:cs="Arial"/>
        </w:rPr>
        <w:t xml:space="preserve"> esta especie </w:t>
      </w:r>
      <w:r w:rsidR="003F0FDD" w:rsidRPr="660B5ED9">
        <w:rPr>
          <w:rFonts w:ascii="Arial" w:hAnsi="Arial" w:cs="Arial"/>
        </w:rPr>
        <w:t>en tres de l</w:t>
      </w:r>
      <w:r w:rsidR="00447B35" w:rsidRPr="660B5ED9">
        <w:rPr>
          <w:rFonts w:ascii="Arial" w:hAnsi="Arial" w:cs="Arial"/>
        </w:rPr>
        <w:t>a</w:t>
      </w:r>
      <w:r w:rsidR="003F0FDD" w:rsidRPr="660B5ED9">
        <w:rPr>
          <w:rFonts w:ascii="Arial" w:hAnsi="Arial" w:cs="Arial"/>
        </w:rPr>
        <w:t xml:space="preserve">s cuatro </w:t>
      </w:r>
      <w:r w:rsidR="00447B35" w:rsidRPr="660B5ED9">
        <w:rPr>
          <w:rFonts w:ascii="Arial" w:hAnsi="Arial" w:cs="Arial"/>
        </w:rPr>
        <w:t>regiones oceánicas donde se pescan túnidos tropicales</w:t>
      </w:r>
      <w:r w:rsidR="003F0FDD" w:rsidRPr="660B5ED9">
        <w:rPr>
          <w:rFonts w:ascii="Arial" w:hAnsi="Arial" w:cs="Arial"/>
        </w:rPr>
        <w:t xml:space="preserve">. </w:t>
      </w:r>
      <w:r w:rsidR="2473EF2B" w:rsidRPr="660B5ED9">
        <w:rPr>
          <w:rFonts w:ascii="Arial" w:hAnsi="Arial" w:cs="Arial"/>
        </w:rPr>
        <w:t>El cuarto y último stock de listado que faltaría por certificar es el del Atlántico, que está actualmente en evaluación completa para lograr este reconocimiento.</w:t>
      </w:r>
    </w:p>
    <w:p w14:paraId="39411BB0" w14:textId="44C2BE9A" w:rsidR="00B07E76" w:rsidRDefault="006039B1" w:rsidP="00B07E76">
      <w:pPr>
        <w:jc w:val="both"/>
        <w:rPr>
          <w:rFonts w:ascii="Arial" w:hAnsi="Arial" w:cs="Arial"/>
        </w:rPr>
      </w:pPr>
      <w:r w:rsidRPr="660B5ED9">
        <w:rPr>
          <w:rFonts w:ascii="Arial" w:hAnsi="Arial" w:cs="Arial"/>
        </w:rPr>
        <w:t xml:space="preserve">El atún certificado podrá llevar el sello azul de MSC tras haber demostrado la sostenibilidad de la pesquería una vez superado con éxito el más exigente proceso de auditoría pesquera respecto al </w:t>
      </w:r>
      <w:r w:rsidR="00B07E76" w:rsidRPr="660B5ED9">
        <w:rPr>
          <w:rFonts w:ascii="Arial" w:hAnsi="Arial" w:cs="Arial"/>
        </w:rPr>
        <w:t>E</w:t>
      </w:r>
      <w:r w:rsidRPr="660B5ED9">
        <w:rPr>
          <w:rFonts w:ascii="Arial" w:hAnsi="Arial" w:cs="Arial"/>
        </w:rPr>
        <w:t xml:space="preserve">stándar </w:t>
      </w:r>
      <w:r w:rsidR="00B07E76" w:rsidRPr="660B5ED9">
        <w:rPr>
          <w:rFonts w:ascii="Arial" w:hAnsi="Arial" w:cs="Arial"/>
        </w:rPr>
        <w:t xml:space="preserve">de Pesquerías de </w:t>
      </w:r>
      <w:r w:rsidRPr="660B5ED9">
        <w:rPr>
          <w:rFonts w:ascii="Arial" w:hAnsi="Arial" w:cs="Arial"/>
        </w:rPr>
        <w:t xml:space="preserve">MSC. </w:t>
      </w:r>
      <w:r w:rsidR="00732B9E" w:rsidRPr="660B5ED9">
        <w:rPr>
          <w:rFonts w:ascii="Arial" w:hAnsi="Arial" w:cs="Arial"/>
        </w:rPr>
        <w:t xml:space="preserve">Este estándar está </w:t>
      </w:r>
      <w:r w:rsidR="00B07E76" w:rsidRPr="660B5ED9">
        <w:rPr>
          <w:rFonts w:ascii="Arial" w:hAnsi="Arial" w:cs="Arial"/>
        </w:rPr>
        <w:t>ampliamente reconocido como el proceso de evaluación de la sostenibilidad de la pesca extractiva más riguroso y creíble del mundo</w:t>
      </w:r>
      <w:r w:rsidR="00732B9E" w:rsidRPr="660B5ED9">
        <w:rPr>
          <w:rFonts w:ascii="Arial" w:hAnsi="Arial" w:cs="Arial"/>
        </w:rPr>
        <w:t xml:space="preserve"> y </w:t>
      </w:r>
      <w:r w:rsidR="00B07E76" w:rsidRPr="660B5ED9">
        <w:rPr>
          <w:rFonts w:ascii="Arial" w:hAnsi="Arial" w:cs="Arial"/>
        </w:rPr>
        <w:t xml:space="preserve">se basa en tres principios: poblaciones saludables de peces; minimización del impacto sobre el medioambiente marino en su conjunto; y un sistema eficaz de gestión pesquera. </w:t>
      </w:r>
    </w:p>
    <w:p w14:paraId="493CBE87" w14:textId="690EB199" w:rsidR="00830392" w:rsidRDefault="006039B1" w:rsidP="006039B1">
      <w:pPr>
        <w:spacing w:line="276" w:lineRule="auto"/>
        <w:jc w:val="both"/>
        <w:rPr>
          <w:rFonts w:ascii="Arial" w:hAnsi="Arial" w:cs="Arial"/>
        </w:rPr>
      </w:pPr>
      <w:r w:rsidRPr="660B5ED9">
        <w:rPr>
          <w:rFonts w:ascii="Arial" w:hAnsi="Arial" w:cs="Arial"/>
        </w:rPr>
        <w:lastRenderedPageBreak/>
        <w:t xml:space="preserve">La pesquería ha pasado por una evaluación </w:t>
      </w:r>
      <w:r w:rsidR="369F4E13" w:rsidRPr="660B5ED9">
        <w:rPr>
          <w:rFonts w:ascii="Arial" w:hAnsi="Arial" w:cs="Arial"/>
        </w:rPr>
        <w:t>exhaustiva</w:t>
      </w:r>
      <w:r w:rsidRPr="660B5ED9">
        <w:rPr>
          <w:rFonts w:ascii="Arial" w:hAnsi="Arial" w:cs="Arial"/>
        </w:rPr>
        <w:t xml:space="preserve"> realizada por </w:t>
      </w:r>
      <w:proofErr w:type="spellStart"/>
      <w:r w:rsidRPr="660B5ED9">
        <w:rPr>
          <w:rFonts w:ascii="Arial" w:hAnsi="Arial" w:cs="Arial"/>
          <w:i/>
          <w:iCs/>
        </w:rPr>
        <w:t>Lloyds</w:t>
      </w:r>
      <w:proofErr w:type="spellEnd"/>
      <w:r w:rsidRPr="660B5ED9">
        <w:rPr>
          <w:rFonts w:ascii="Arial" w:hAnsi="Arial" w:cs="Arial"/>
          <w:i/>
          <w:iCs/>
        </w:rPr>
        <w:t xml:space="preserve"> </w:t>
      </w:r>
      <w:proofErr w:type="spellStart"/>
      <w:r w:rsidRPr="660B5ED9">
        <w:rPr>
          <w:rFonts w:ascii="Arial" w:hAnsi="Arial" w:cs="Arial"/>
          <w:i/>
          <w:iCs/>
        </w:rPr>
        <w:t>Register</w:t>
      </w:r>
      <w:proofErr w:type="spellEnd"/>
      <w:r w:rsidRPr="660B5ED9">
        <w:rPr>
          <w:rFonts w:ascii="Arial" w:hAnsi="Arial" w:cs="Arial"/>
        </w:rPr>
        <w:t xml:space="preserve"> (ahora </w:t>
      </w:r>
      <w:r w:rsidRPr="660B5ED9">
        <w:rPr>
          <w:rFonts w:ascii="Arial" w:hAnsi="Arial" w:cs="Arial"/>
          <w:i/>
          <w:iCs/>
        </w:rPr>
        <w:t>LRQA),</w:t>
      </w:r>
      <w:r w:rsidRPr="660B5ED9">
        <w:rPr>
          <w:rFonts w:ascii="Arial" w:hAnsi="Arial" w:cs="Arial"/>
        </w:rPr>
        <w:t xml:space="preserve"> que empleó a algunos de los científicos atuneros más reconocidos en la evaluación de las pesquerías de túnidos según el Estándar de Pesquerías de MSC. </w:t>
      </w:r>
    </w:p>
    <w:p w14:paraId="552F6A2F" w14:textId="1C03D7BF" w:rsidR="00E64CC1" w:rsidRPr="00330671" w:rsidRDefault="00535A60" w:rsidP="00EC7289">
      <w:pPr>
        <w:spacing w:line="276" w:lineRule="auto"/>
        <w:jc w:val="both"/>
        <w:rPr>
          <w:rFonts w:ascii="Arial" w:hAnsi="Arial" w:cs="Arial"/>
        </w:rPr>
      </w:pPr>
      <w:r>
        <w:rPr>
          <w:rFonts w:ascii="Arial" w:hAnsi="Arial" w:cs="Arial"/>
        </w:rPr>
        <w:t>Algunas de las principales fortalezas de esta pesquería s</w:t>
      </w:r>
      <w:r w:rsidR="007F71A7">
        <w:rPr>
          <w:rFonts w:ascii="Arial" w:hAnsi="Arial" w:cs="Arial"/>
        </w:rPr>
        <w:t>on</w:t>
      </w:r>
      <w:r>
        <w:rPr>
          <w:rFonts w:ascii="Arial" w:hAnsi="Arial" w:cs="Arial"/>
        </w:rPr>
        <w:t xml:space="preserve"> que CIAT </w:t>
      </w:r>
      <w:r w:rsidR="00054647" w:rsidRPr="00054647">
        <w:rPr>
          <w:rFonts w:ascii="Arial" w:hAnsi="Arial" w:cs="Arial"/>
        </w:rPr>
        <w:t xml:space="preserve">ha desarrollado sistemas </w:t>
      </w:r>
      <w:r w:rsidR="00C26928">
        <w:rPr>
          <w:rFonts w:ascii="Arial" w:hAnsi="Arial" w:cs="Arial"/>
        </w:rPr>
        <w:t xml:space="preserve">muy detallados </w:t>
      </w:r>
      <w:r w:rsidR="00054647" w:rsidRPr="00054647">
        <w:rPr>
          <w:rFonts w:ascii="Arial" w:hAnsi="Arial" w:cs="Arial"/>
        </w:rPr>
        <w:t>de recopilación de datos para respaldar las evaluaciones de población de</w:t>
      </w:r>
      <w:r w:rsidR="00EC7289">
        <w:rPr>
          <w:rFonts w:ascii="Arial" w:hAnsi="Arial" w:cs="Arial"/>
        </w:rPr>
        <w:t>l</w:t>
      </w:r>
      <w:r w:rsidR="00047322">
        <w:rPr>
          <w:rFonts w:ascii="Arial" w:hAnsi="Arial" w:cs="Arial"/>
        </w:rPr>
        <w:t xml:space="preserve"> listado</w:t>
      </w:r>
      <w:r w:rsidR="00054647" w:rsidRPr="00054647">
        <w:rPr>
          <w:rFonts w:ascii="Arial" w:hAnsi="Arial" w:cs="Arial"/>
        </w:rPr>
        <w:t>. Las actividades de l</w:t>
      </w:r>
      <w:r w:rsidR="00C26928">
        <w:rPr>
          <w:rFonts w:ascii="Arial" w:hAnsi="Arial" w:cs="Arial"/>
        </w:rPr>
        <w:t xml:space="preserve">os barcos de esta certificación </w:t>
      </w:r>
      <w:r w:rsidR="00054647" w:rsidRPr="00054647">
        <w:rPr>
          <w:rFonts w:ascii="Arial" w:hAnsi="Arial" w:cs="Arial"/>
        </w:rPr>
        <w:t xml:space="preserve">son monitoreadas de </w:t>
      </w:r>
      <w:r w:rsidR="00C26928">
        <w:rPr>
          <w:rFonts w:ascii="Arial" w:hAnsi="Arial" w:cs="Arial"/>
        </w:rPr>
        <w:t>forma permanente con una cobertura del 100% de observación tanto por observadores humanos como electrónicos</w:t>
      </w:r>
      <w:r w:rsidR="00054647" w:rsidRPr="00054647">
        <w:rPr>
          <w:rFonts w:ascii="Arial" w:hAnsi="Arial" w:cs="Arial"/>
        </w:rPr>
        <w:t xml:space="preserve">. </w:t>
      </w:r>
      <w:r w:rsidR="00E64CC1" w:rsidRPr="00FC294C">
        <w:rPr>
          <w:rFonts w:ascii="Arial" w:hAnsi="Arial" w:cs="Arial"/>
        </w:rPr>
        <w:t xml:space="preserve">La pesquería </w:t>
      </w:r>
      <w:r w:rsidR="00EC7289">
        <w:rPr>
          <w:rFonts w:ascii="Arial" w:hAnsi="Arial" w:cs="Arial"/>
        </w:rPr>
        <w:t xml:space="preserve">también </w:t>
      </w:r>
      <w:r w:rsidR="00E64CC1" w:rsidRPr="229643E6">
        <w:rPr>
          <w:rFonts w:ascii="Arial" w:hAnsi="Arial" w:cs="Arial"/>
        </w:rPr>
        <w:t xml:space="preserve">ha mostrado un gran liderazgo por ejemplo implementando desde </w:t>
      </w:r>
      <w:r w:rsidR="00E64CC1" w:rsidRPr="00FC294C">
        <w:rPr>
          <w:rFonts w:ascii="Arial" w:hAnsi="Arial" w:cs="Arial"/>
        </w:rPr>
        <w:t xml:space="preserve">2012 un Código de Buenas </w:t>
      </w:r>
      <w:r w:rsidR="00E64CC1">
        <w:rPr>
          <w:rFonts w:ascii="Arial" w:hAnsi="Arial" w:cs="Arial"/>
        </w:rPr>
        <w:t>P</w:t>
      </w:r>
      <w:r w:rsidR="00E64CC1" w:rsidRPr="00FC294C">
        <w:rPr>
          <w:rFonts w:ascii="Arial" w:hAnsi="Arial" w:cs="Arial"/>
        </w:rPr>
        <w:t>rácticas (CGP</w:t>
      </w:r>
      <w:r w:rsidR="00E64CC1">
        <w:rPr>
          <w:rFonts w:ascii="Arial" w:hAnsi="Arial" w:cs="Arial"/>
        </w:rPr>
        <w:t>, por sus siglas en inglés</w:t>
      </w:r>
      <w:r w:rsidR="00E64CC1" w:rsidRPr="00FC294C">
        <w:rPr>
          <w:rFonts w:ascii="Arial" w:hAnsi="Arial" w:cs="Arial"/>
        </w:rPr>
        <w:t xml:space="preserve">) para abordar los impactos en las especies no objetivo, </w:t>
      </w:r>
      <w:r w:rsidR="00E64CC1" w:rsidRPr="229643E6">
        <w:rPr>
          <w:rFonts w:ascii="Arial" w:hAnsi="Arial" w:cs="Arial"/>
        </w:rPr>
        <w:t xml:space="preserve">incluyendo </w:t>
      </w:r>
      <w:r w:rsidR="00E64CC1" w:rsidRPr="00FC294C">
        <w:rPr>
          <w:rFonts w:ascii="Arial" w:hAnsi="Arial" w:cs="Arial"/>
        </w:rPr>
        <w:t xml:space="preserve">la adopción de </w:t>
      </w:r>
      <w:proofErr w:type="spellStart"/>
      <w:r w:rsidR="00546FB6">
        <w:rPr>
          <w:rFonts w:ascii="Arial" w:hAnsi="Arial" w:cs="Arial"/>
        </w:rPr>
        <w:t>DCPs</w:t>
      </w:r>
      <w:proofErr w:type="spellEnd"/>
      <w:r w:rsidR="00546FB6">
        <w:rPr>
          <w:rFonts w:ascii="Arial" w:hAnsi="Arial" w:cs="Arial"/>
        </w:rPr>
        <w:t xml:space="preserve"> </w:t>
      </w:r>
      <w:r w:rsidR="00E64CC1">
        <w:rPr>
          <w:rFonts w:ascii="Arial" w:hAnsi="Arial" w:cs="Arial"/>
        </w:rPr>
        <w:t xml:space="preserve">no </w:t>
      </w:r>
      <w:proofErr w:type="spellStart"/>
      <w:r w:rsidR="00E64CC1">
        <w:rPr>
          <w:rFonts w:ascii="Arial" w:hAnsi="Arial" w:cs="Arial"/>
        </w:rPr>
        <w:t>enmallantes</w:t>
      </w:r>
      <w:proofErr w:type="spellEnd"/>
      <w:r w:rsidR="006C0C68">
        <w:rPr>
          <w:rFonts w:ascii="Arial" w:hAnsi="Arial" w:cs="Arial"/>
        </w:rPr>
        <w:t xml:space="preserve">. </w:t>
      </w:r>
      <w:r w:rsidR="00E64CC1">
        <w:rPr>
          <w:rFonts w:ascii="Arial" w:hAnsi="Arial" w:cs="Arial"/>
        </w:rPr>
        <w:t xml:space="preserve"> </w:t>
      </w:r>
      <w:r w:rsidR="00E64CC1" w:rsidRPr="00330671">
        <w:rPr>
          <w:rFonts w:ascii="Arial" w:hAnsi="Arial" w:cs="Arial"/>
        </w:rPr>
        <w:t>El cumplimiento del CGP es verificado anualmente por la organización científica in</w:t>
      </w:r>
      <w:r w:rsidR="00E64CC1">
        <w:rPr>
          <w:rFonts w:ascii="Arial" w:hAnsi="Arial" w:cs="Arial"/>
        </w:rPr>
        <w:t xml:space="preserve">dependiente </w:t>
      </w:r>
      <w:r w:rsidR="00E64CC1" w:rsidRPr="00183E42">
        <w:rPr>
          <w:rFonts w:ascii="Arial" w:hAnsi="Arial" w:cs="Arial"/>
        </w:rPr>
        <w:t>AZTI</w:t>
      </w:r>
      <w:r w:rsidR="00E64CC1">
        <w:rPr>
          <w:rStyle w:val="Refdenotaalpie"/>
          <w:rFonts w:ascii="Arial" w:hAnsi="Arial" w:cs="Arial"/>
        </w:rPr>
        <w:footnoteReference w:id="2"/>
      </w:r>
      <w:r w:rsidR="00E64CC1" w:rsidRPr="00330671">
        <w:rPr>
          <w:rFonts w:ascii="Arial" w:hAnsi="Arial" w:cs="Arial"/>
        </w:rPr>
        <w:t xml:space="preserve">. </w:t>
      </w:r>
      <w:r w:rsidR="00E64CC1" w:rsidRPr="00251B9F">
        <w:rPr>
          <w:rFonts w:ascii="Arial" w:hAnsi="Arial" w:cs="Arial"/>
        </w:rPr>
        <w:t xml:space="preserve">Todas las empresas y buques incluidos en la certificación se han adherido a este Código de Buenas Prácticas vinculante. </w:t>
      </w:r>
      <w:r w:rsidR="00E64CC1" w:rsidRPr="0002728A">
        <w:rPr>
          <w:rFonts w:ascii="Arial" w:hAnsi="Arial" w:cs="Arial"/>
        </w:rPr>
        <w:t xml:space="preserve">La pesquería ha logrado grandes avances para reducir el impacto de los </w:t>
      </w:r>
      <w:proofErr w:type="spellStart"/>
      <w:r w:rsidR="00E64CC1" w:rsidRPr="0002728A">
        <w:rPr>
          <w:rFonts w:ascii="Arial" w:hAnsi="Arial" w:cs="Arial"/>
        </w:rPr>
        <w:t>DCPs</w:t>
      </w:r>
      <w:proofErr w:type="spellEnd"/>
      <w:r w:rsidR="00E64CC1" w:rsidRPr="0002728A">
        <w:rPr>
          <w:rFonts w:ascii="Arial" w:hAnsi="Arial" w:cs="Arial"/>
        </w:rPr>
        <w:t xml:space="preserve"> en hábitats vulnerables y el ecosistema al encabezar la transición a </w:t>
      </w:r>
      <w:proofErr w:type="spellStart"/>
      <w:r w:rsidR="00E64CC1" w:rsidRPr="0002728A">
        <w:rPr>
          <w:rFonts w:ascii="Arial" w:hAnsi="Arial" w:cs="Arial"/>
        </w:rPr>
        <w:t>DCP</w:t>
      </w:r>
      <w:r w:rsidR="00C95E66">
        <w:rPr>
          <w:rFonts w:ascii="Arial" w:hAnsi="Arial" w:cs="Arial"/>
        </w:rPr>
        <w:t>s</w:t>
      </w:r>
      <w:proofErr w:type="spellEnd"/>
      <w:r w:rsidR="00E64CC1" w:rsidRPr="0002728A">
        <w:rPr>
          <w:rFonts w:ascii="Arial" w:hAnsi="Arial" w:cs="Arial"/>
        </w:rPr>
        <w:t xml:space="preserve"> biodegradables y</w:t>
      </w:r>
      <w:r w:rsidR="00C95E66">
        <w:rPr>
          <w:rFonts w:ascii="Arial" w:hAnsi="Arial" w:cs="Arial"/>
        </w:rPr>
        <w:t xml:space="preserve"> </w:t>
      </w:r>
      <w:r w:rsidR="00E64CC1" w:rsidRPr="0002728A">
        <w:rPr>
          <w:rFonts w:ascii="Arial" w:hAnsi="Arial" w:cs="Arial"/>
        </w:rPr>
        <w:t xml:space="preserve">al monitorear esta transición a través del programa de observadores. </w:t>
      </w:r>
    </w:p>
    <w:p w14:paraId="7B8B78E5" w14:textId="503AB14B" w:rsidR="00025CB5" w:rsidRDefault="000E7643" w:rsidP="00156C28">
      <w:pPr>
        <w:jc w:val="both"/>
        <w:rPr>
          <w:rFonts w:ascii="Arial" w:hAnsi="Arial" w:cs="Arial"/>
        </w:rPr>
      </w:pPr>
      <w:r>
        <w:rPr>
          <w:rFonts w:ascii="Arial" w:hAnsi="Arial" w:cs="Arial"/>
        </w:rPr>
        <w:t xml:space="preserve">“Con esta certificación, nuestra flota de AGAC en el Pacífico Oriental consigue demostrar que el sistema de pesca de cerco </w:t>
      </w:r>
      <w:proofErr w:type="gramStart"/>
      <w:r>
        <w:rPr>
          <w:rFonts w:ascii="Arial" w:hAnsi="Arial" w:cs="Arial"/>
        </w:rPr>
        <w:t>atunero,</w:t>
      </w:r>
      <w:proofErr w:type="gramEnd"/>
      <w:r>
        <w:rPr>
          <w:rFonts w:ascii="Arial" w:hAnsi="Arial" w:cs="Arial"/>
        </w:rPr>
        <w:t xml:space="preserve"> es sostenible de manera integral, independientemente del método utilizado para localizar los bancos de atún. El atún listado es una especie altamente productiva y resistente a la explotación pesquera, con más de 2,5 millones de toneladas capturas en los 3 principales océanos, y gestionada de forma sostenible en todo el mundo. El compromiso de los pescadores de AGAC, ha hecho posible superar los altos estándares de MSC para certificar nuestra captura de listado en el Océano Pacífico Oriental, demostrando nuestro compromiso con el futuro de la actividad pesquera responsable. Los pescadores son los principales custodios de mar, porque su medio de vida depende del Océano. Ahora animamos a los consumidores a exigir este estándar en sus compras de latas d</w:t>
      </w:r>
      <w:r w:rsidR="00087F1A">
        <w:rPr>
          <w:rFonts w:ascii="Arial" w:hAnsi="Arial" w:cs="Arial"/>
        </w:rPr>
        <w:t>e</w:t>
      </w:r>
      <w:r>
        <w:rPr>
          <w:rFonts w:ascii="Arial" w:hAnsi="Arial" w:cs="Arial"/>
        </w:rPr>
        <w:t xml:space="preserve"> atún.”</w:t>
      </w:r>
    </w:p>
    <w:p w14:paraId="25CC76C8" w14:textId="524132AE" w:rsidR="00156C28" w:rsidRPr="00327D2D" w:rsidRDefault="00156C28" w:rsidP="00156C28">
      <w:pPr>
        <w:jc w:val="both"/>
        <w:rPr>
          <w:b/>
          <w:bCs/>
          <w:color w:val="1F497D"/>
          <w:lang w:eastAsia="es-ES"/>
        </w:rPr>
      </w:pPr>
    </w:p>
    <w:p w14:paraId="5AF7C7EB" w14:textId="1E1893BE" w:rsidR="0066579C" w:rsidRPr="005B72A9" w:rsidRDefault="009E1DB9" w:rsidP="00025CB5">
      <w:pPr>
        <w:jc w:val="right"/>
        <w:rPr>
          <w:rFonts w:ascii="Arial" w:hAnsi="Arial" w:cs="Arial"/>
          <w:b/>
        </w:rPr>
      </w:pPr>
      <w:r>
        <w:rPr>
          <w:rFonts w:ascii="Arial" w:hAnsi="Arial" w:cs="Arial"/>
          <w:b/>
          <w:bCs/>
        </w:rPr>
        <w:t>Julio Mor</w:t>
      </w:r>
      <w:r w:rsidR="00E97ACF">
        <w:rPr>
          <w:rFonts w:ascii="Arial" w:hAnsi="Arial" w:cs="Arial"/>
          <w:b/>
          <w:bCs/>
        </w:rPr>
        <w:t>ó</w:t>
      </w:r>
      <w:r>
        <w:rPr>
          <w:rFonts w:ascii="Arial" w:hAnsi="Arial" w:cs="Arial"/>
          <w:b/>
          <w:bCs/>
        </w:rPr>
        <w:t>n</w:t>
      </w:r>
      <w:r w:rsidR="00025CB5">
        <w:rPr>
          <w:rFonts w:ascii="Arial" w:hAnsi="Arial" w:cs="Arial"/>
          <w:b/>
          <w:bCs/>
        </w:rPr>
        <w:t xml:space="preserve">. Director Gerente de AGAC </w:t>
      </w:r>
    </w:p>
    <w:p w14:paraId="3459E8FF" w14:textId="3E578A91" w:rsidR="00156C28" w:rsidRDefault="00156C28" w:rsidP="660B5ED9">
      <w:pPr>
        <w:jc w:val="both"/>
        <w:rPr>
          <w:rFonts w:ascii="Arial" w:hAnsi="Arial" w:cs="Arial"/>
        </w:rPr>
      </w:pPr>
      <w:r w:rsidRPr="660B5ED9">
        <w:rPr>
          <w:rFonts w:ascii="Arial" w:hAnsi="Arial" w:cs="Arial"/>
        </w:rPr>
        <w:t>“</w:t>
      </w:r>
      <w:r w:rsidR="29AFC9C3" w:rsidRPr="660B5ED9">
        <w:rPr>
          <w:rFonts w:ascii="Arial" w:hAnsi="Arial" w:cs="Arial"/>
        </w:rPr>
        <w:t xml:space="preserve">El atún listado es la especie de atún más consumida a nivel mundial. </w:t>
      </w:r>
      <w:r w:rsidR="0EF2D9B8" w:rsidRPr="660B5ED9">
        <w:rPr>
          <w:rFonts w:ascii="Arial" w:hAnsi="Arial" w:cs="Arial"/>
        </w:rPr>
        <w:t>Hoy</w:t>
      </w:r>
      <w:r w:rsidR="29AFC9C3" w:rsidRPr="660B5ED9">
        <w:rPr>
          <w:rFonts w:ascii="Arial" w:hAnsi="Arial" w:cs="Arial"/>
        </w:rPr>
        <w:t xml:space="preserve"> todas las poblaciones de atún listado se encuentran en buen estado de abundancia. </w:t>
      </w:r>
      <w:r w:rsidR="2A551C5E" w:rsidRPr="660B5ED9">
        <w:rPr>
          <w:rFonts w:ascii="Arial" w:hAnsi="Arial" w:cs="Arial"/>
        </w:rPr>
        <w:t xml:space="preserve">Además del estado de la población, hay otros parámetros para asegurar la sostenibilidad de esta especie, como la interacción con otras especies durante las </w:t>
      </w:r>
      <w:r w:rsidR="007E3465">
        <w:rPr>
          <w:rFonts w:ascii="Arial" w:hAnsi="Arial" w:cs="Arial"/>
        </w:rPr>
        <w:t>capturas</w:t>
      </w:r>
      <w:r w:rsidR="2A551C5E" w:rsidRPr="660B5ED9">
        <w:rPr>
          <w:rFonts w:ascii="Arial" w:hAnsi="Arial" w:cs="Arial"/>
        </w:rPr>
        <w:t xml:space="preserve"> o la gestión robusta dentro de las Organizaciones Regionales de Pesca.</w:t>
      </w:r>
      <w:r w:rsidR="20A136DC" w:rsidRPr="660B5ED9">
        <w:rPr>
          <w:rFonts w:ascii="Arial" w:hAnsi="Arial" w:cs="Arial"/>
        </w:rPr>
        <w:t xml:space="preserve"> </w:t>
      </w:r>
      <w:r w:rsidR="23A967B6" w:rsidRPr="660B5ED9">
        <w:rPr>
          <w:rFonts w:ascii="Arial" w:hAnsi="Arial" w:cs="Arial"/>
        </w:rPr>
        <w:t>En el estándar MSC se evalúan</w:t>
      </w:r>
      <w:r w:rsidR="20A136DC" w:rsidRPr="660B5ED9">
        <w:rPr>
          <w:rFonts w:ascii="Arial" w:hAnsi="Arial" w:cs="Arial"/>
        </w:rPr>
        <w:t xml:space="preserve"> 2</w:t>
      </w:r>
      <w:r w:rsidR="003F57BE">
        <w:rPr>
          <w:rFonts w:ascii="Arial" w:hAnsi="Arial" w:cs="Arial"/>
        </w:rPr>
        <w:t>8</w:t>
      </w:r>
      <w:r w:rsidR="20A136DC" w:rsidRPr="660B5ED9">
        <w:rPr>
          <w:rFonts w:ascii="Arial" w:hAnsi="Arial" w:cs="Arial"/>
        </w:rPr>
        <w:t xml:space="preserve"> indicadores de cumplimiento</w:t>
      </w:r>
      <w:r w:rsidR="211E38A0" w:rsidRPr="660B5ED9">
        <w:rPr>
          <w:rFonts w:ascii="Arial" w:hAnsi="Arial" w:cs="Arial"/>
        </w:rPr>
        <w:t xml:space="preserve"> medioambiental y AGAC ha superado con éxito estos parámetros para el atún listado del Pacífico Oriental. </w:t>
      </w:r>
      <w:r w:rsidR="23D46E3D" w:rsidRPr="660B5ED9">
        <w:rPr>
          <w:rFonts w:ascii="Arial" w:hAnsi="Arial" w:cs="Arial"/>
        </w:rPr>
        <w:t xml:space="preserve">Este hito se suma a las certificaciones para otras especies y en otros océanos, que suman 245.123 toneladas de atún capturados por las flotas asociadas a AGAC y </w:t>
      </w:r>
      <w:r w:rsidR="00497375">
        <w:rPr>
          <w:rFonts w:ascii="Arial" w:hAnsi="Arial" w:cs="Arial"/>
        </w:rPr>
        <w:t>más de 50.000</w:t>
      </w:r>
      <w:r w:rsidR="23D46E3D" w:rsidRPr="660B5ED9">
        <w:rPr>
          <w:rFonts w:ascii="Arial" w:hAnsi="Arial" w:cs="Arial"/>
        </w:rPr>
        <w:t xml:space="preserve"> toneladas de atún que se encuentra en evaluación o en transición hacia MSC.</w:t>
      </w:r>
      <w:r w:rsidR="65CDD2EA" w:rsidRPr="660B5ED9">
        <w:rPr>
          <w:rFonts w:ascii="Arial" w:hAnsi="Arial" w:cs="Arial"/>
        </w:rPr>
        <w:t xml:space="preserve"> Grandes noticias para los consumidores </w:t>
      </w:r>
      <w:r w:rsidR="5076455D" w:rsidRPr="660B5ED9">
        <w:rPr>
          <w:rFonts w:ascii="Arial" w:hAnsi="Arial" w:cs="Arial"/>
        </w:rPr>
        <w:t>de atún con sello azul.”</w:t>
      </w:r>
    </w:p>
    <w:p w14:paraId="39D819F5" w14:textId="76DCA6D4" w:rsidR="00CD5424" w:rsidRDefault="00CD5424" w:rsidP="00327D2D">
      <w:pPr>
        <w:jc w:val="right"/>
        <w:rPr>
          <w:rFonts w:ascii="Arial" w:hAnsi="Arial" w:cs="Arial"/>
          <w:b/>
        </w:rPr>
      </w:pPr>
      <w:r w:rsidRPr="005B72A9">
        <w:rPr>
          <w:rFonts w:ascii="Arial" w:hAnsi="Arial" w:cs="Arial"/>
          <w:b/>
        </w:rPr>
        <w:t xml:space="preserve">Laura Rodríguez, </w:t>
      </w:r>
      <w:r w:rsidR="009D2B88" w:rsidRPr="005B72A9">
        <w:rPr>
          <w:rFonts w:ascii="Arial" w:hAnsi="Arial" w:cs="Arial"/>
          <w:b/>
        </w:rPr>
        <w:t>d</w:t>
      </w:r>
      <w:r w:rsidRPr="005B72A9">
        <w:rPr>
          <w:rFonts w:ascii="Arial" w:hAnsi="Arial" w:cs="Arial"/>
          <w:b/>
        </w:rPr>
        <w:t>irectora de MSC para España y Portugal</w:t>
      </w:r>
      <w:r w:rsidR="005B72A9">
        <w:rPr>
          <w:rFonts w:ascii="Arial" w:hAnsi="Arial" w:cs="Arial"/>
          <w:b/>
        </w:rPr>
        <w:t>.</w:t>
      </w:r>
    </w:p>
    <w:p w14:paraId="614DECE5" w14:textId="0F3B9E8F" w:rsidR="00ED5A5A" w:rsidRPr="00341BFD" w:rsidRDefault="00ED5A5A" w:rsidP="00B9106E">
      <w:pPr>
        <w:jc w:val="both"/>
        <w:rPr>
          <w:rFonts w:ascii="Arial" w:hAnsi="Arial" w:cs="Arial"/>
          <w:b/>
          <w:bCs/>
          <w:color w:val="1F4E79"/>
        </w:rPr>
      </w:pPr>
      <w:r w:rsidRPr="00341BFD">
        <w:rPr>
          <w:rFonts w:ascii="Arial" w:hAnsi="Arial" w:cs="Arial"/>
          <w:b/>
          <w:bCs/>
          <w:color w:val="1F4E79"/>
        </w:rPr>
        <w:t>− FIN –</w:t>
      </w:r>
    </w:p>
    <w:p w14:paraId="4D51D5D5" w14:textId="77777777" w:rsidR="00A73384" w:rsidRDefault="00A73384" w:rsidP="00B9106E">
      <w:pPr>
        <w:spacing w:after="0"/>
        <w:jc w:val="both"/>
        <w:rPr>
          <w:rFonts w:ascii="Arial" w:hAnsi="Arial" w:cs="Arial"/>
          <w:b/>
          <w:color w:val="1F4E79"/>
          <w:sz w:val="24"/>
          <w:szCs w:val="24"/>
        </w:rPr>
      </w:pPr>
    </w:p>
    <w:p w14:paraId="0585F69F" w14:textId="0FC9D735" w:rsidR="00ED5A5A" w:rsidRPr="00341BFD" w:rsidRDefault="00ED5A5A" w:rsidP="00B9106E">
      <w:pPr>
        <w:spacing w:after="0"/>
        <w:jc w:val="both"/>
        <w:rPr>
          <w:rFonts w:ascii="Arial" w:hAnsi="Arial" w:cs="Arial"/>
          <w:b/>
          <w:color w:val="1F4E79"/>
          <w:sz w:val="24"/>
          <w:szCs w:val="24"/>
        </w:rPr>
      </w:pPr>
      <w:r w:rsidRPr="00341BFD">
        <w:rPr>
          <w:rFonts w:ascii="Arial" w:hAnsi="Arial" w:cs="Arial"/>
          <w:b/>
          <w:color w:val="1F4E79"/>
          <w:sz w:val="24"/>
          <w:szCs w:val="24"/>
        </w:rPr>
        <w:lastRenderedPageBreak/>
        <w:t xml:space="preserve">Datos de contacto para medios de comunicación </w:t>
      </w:r>
    </w:p>
    <w:p w14:paraId="7F52D4AD" w14:textId="0A3DB008" w:rsidR="00ED5A5A" w:rsidRPr="005B72A9" w:rsidRDefault="00ED5A5A" w:rsidP="00006705">
      <w:pPr>
        <w:jc w:val="both"/>
        <w:rPr>
          <w:rFonts w:ascii="Arial" w:hAnsi="Arial" w:cs="Arial"/>
          <w:b/>
          <w:sz w:val="28"/>
          <w:szCs w:val="28"/>
        </w:rPr>
      </w:pPr>
      <w:r w:rsidRPr="005B72A9">
        <w:rPr>
          <w:rFonts w:ascii="Arial" w:hAnsi="Arial" w:cs="Arial"/>
        </w:rPr>
        <w:t>Asun Talavera, responsable de prensa MSC España y Portugal</w:t>
      </w:r>
      <w:r w:rsidR="003A7607" w:rsidRPr="005B72A9">
        <w:rPr>
          <w:rFonts w:ascii="Arial" w:hAnsi="Arial" w:cs="Arial"/>
        </w:rPr>
        <w:t>:</w:t>
      </w:r>
      <w:r w:rsidRPr="005B72A9">
        <w:rPr>
          <w:rFonts w:ascii="Arial" w:hAnsi="Arial" w:cs="Arial"/>
        </w:rPr>
        <w:t xml:space="preserve"> </w:t>
      </w:r>
      <w:hyperlink r:id="rId15" w:history="1">
        <w:r w:rsidR="0092148B" w:rsidRPr="005B72A9">
          <w:rPr>
            <w:rStyle w:val="Hipervnculo"/>
            <w:rFonts w:ascii="Arial" w:hAnsi="Arial" w:cs="Arial"/>
          </w:rPr>
          <w:t>asun.talavera@msc.org</w:t>
        </w:r>
      </w:hyperlink>
      <w:r w:rsidR="003A7607" w:rsidRPr="005B72A9">
        <w:rPr>
          <w:rFonts w:ascii="Arial" w:hAnsi="Arial" w:cs="Arial"/>
        </w:rPr>
        <w:t>;</w:t>
      </w:r>
      <w:r w:rsidRPr="005B72A9">
        <w:rPr>
          <w:rFonts w:ascii="Arial" w:hAnsi="Arial" w:cs="Arial"/>
        </w:rPr>
        <w:t xml:space="preserve"> </w:t>
      </w:r>
      <w:r w:rsidR="003A7607" w:rsidRPr="005B72A9">
        <w:rPr>
          <w:rFonts w:ascii="Arial" w:hAnsi="Arial" w:cs="Arial"/>
        </w:rPr>
        <w:t xml:space="preserve">tel.: </w:t>
      </w:r>
      <w:r w:rsidRPr="005B72A9">
        <w:rPr>
          <w:rFonts w:ascii="Arial" w:hAnsi="Arial" w:cs="Arial"/>
        </w:rPr>
        <w:t xml:space="preserve">+34 676 016 630 </w:t>
      </w:r>
    </w:p>
    <w:p w14:paraId="78F06D16" w14:textId="77777777" w:rsidR="00715845" w:rsidRPr="00341BFD" w:rsidRDefault="00715845" w:rsidP="00715845">
      <w:pPr>
        <w:spacing w:after="0"/>
        <w:jc w:val="both"/>
        <w:rPr>
          <w:rFonts w:ascii="Arial" w:hAnsi="Arial" w:cs="Arial"/>
          <w:b/>
          <w:color w:val="1F4E79"/>
          <w:sz w:val="24"/>
          <w:szCs w:val="24"/>
        </w:rPr>
      </w:pPr>
      <w:r w:rsidRPr="00341BFD">
        <w:rPr>
          <w:rFonts w:ascii="Arial" w:hAnsi="Arial" w:cs="Arial"/>
          <w:b/>
          <w:color w:val="1F4E79"/>
          <w:sz w:val="24"/>
          <w:szCs w:val="24"/>
        </w:rPr>
        <w:t>Marine Stewardship Council (MSC)</w:t>
      </w:r>
    </w:p>
    <w:p w14:paraId="3A95D922" w14:textId="77777777" w:rsidR="00715845" w:rsidRPr="00715845" w:rsidRDefault="00715845" w:rsidP="00715845">
      <w:pPr>
        <w:pStyle w:val="paragraph"/>
        <w:spacing w:before="0" w:beforeAutospacing="0" w:after="240" w:afterAutospacing="0"/>
        <w:jc w:val="both"/>
        <w:textAlignment w:val="baseline"/>
        <w:rPr>
          <w:rFonts w:ascii="Arial" w:hAnsi="Arial" w:cs="Arial"/>
          <w:sz w:val="22"/>
          <w:szCs w:val="22"/>
        </w:rPr>
      </w:pPr>
      <w:r w:rsidRPr="00715845">
        <w:rPr>
          <w:rStyle w:val="normaltextrun"/>
          <w:rFonts w:ascii="Arial" w:hAnsi="Arial" w:cs="Arial"/>
          <w:sz w:val="22"/>
        </w:rPr>
        <w:t xml:space="preserve">Marine Stewardship Council (MSC) es una organización internacional sin ánimo de lucro que establece una serie de estándares con base científica, mundialmente reconocidos, en materia de pesca sostenible y de trazabilidad de productos pesqueros. Su sello azul y su programa de certificación </w:t>
      </w:r>
      <w:r w:rsidRPr="00715845">
        <w:rPr>
          <w:rStyle w:val="normaltextrun"/>
          <w:rFonts w:ascii="Arial" w:hAnsi="Arial" w:cs="Arial"/>
          <w:color w:val="000000" w:themeColor="text1"/>
          <w:sz w:val="22"/>
        </w:rPr>
        <w:t>reconocen y premian las prácticas pesqueras sostenibles y, además, ayudan a crear un mercado más sostenible para los productos del mar. </w:t>
      </w:r>
      <w:r w:rsidRPr="00715845">
        <w:rPr>
          <w:rStyle w:val="normaltextrun"/>
          <w:rFonts w:ascii="Arial" w:hAnsi="Arial" w:cs="Arial"/>
          <w:sz w:val="22"/>
        </w:rPr>
        <w:t xml:space="preserve">Se trata del único programa de certificación y etiquetado ecológico para pesquerías de captura que cumple los requisitos de buenas prácticas establecidos por la </w:t>
      </w:r>
      <w:hyperlink r:id="rId16">
        <w:r w:rsidRPr="00715845">
          <w:rPr>
            <w:rStyle w:val="normaltextrun"/>
            <w:rFonts w:ascii="Arial" w:hAnsi="Arial" w:cs="Arial"/>
            <w:color w:val="2F5496"/>
            <w:sz w:val="22"/>
            <w:szCs w:val="22"/>
            <w:u w:val="single"/>
          </w:rPr>
          <w:t>Organización de las Naciones Unidas para la Agricultura y la Alimentación (FAO)</w:t>
        </w:r>
      </w:hyperlink>
      <w:r w:rsidRPr="00715845">
        <w:rPr>
          <w:rStyle w:val="normaltextrun"/>
          <w:rFonts w:ascii="Arial" w:hAnsi="Arial" w:cs="Arial"/>
          <w:sz w:val="22"/>
        </w:rPr>
        <w:t xml:space="preserve"> y por</w:t>
      </w:r>
      <w:r w:rsidRPr="0016137F">
        <w:rPr>
          <w:rFonts w:ascii="Arial" w:hAnsi="Arial" w:cs="Arial"/>
        </w:rPr>
        <w:t xml:space="preserve"> </w:t>
      </w:r>
      <w:r w:rsidRPr="00715845">
        <w:rPr>
          <w:rStyle w:val="normaltextrun"/>
          <w:rFonts w:ascii="Arial" w:hAnsi="Arial" w:cs="Arial"/>
          <w:sz w:val="22"/>
        </w:rPr>
        <w:t xml:space="preserve">ISEAL, la Alianza Internacional de Acreditación y Etiquetado Social y Ambiental. Para más información, visite nuestra web en </w:t>
      </w:r>
      <w:hyperlink r:id="rId17">
        <w:r w:rsidRPr="00715845">
          <w:rPr>
            <w:rStyle w:val="normaltextrun"/>
            <w:rFonts w:ascii="Arial" w:hAnsi="Arial" w:cs="Arial"/>
            <w:color w:val="2F5496"/>
            <w:sz w:val="22"/>
            <w:u w:val="single"/>
          </w:rPr>
          <w:t>msc.org</w:t>
        </w:r>
      </w:hyperlink>
      <w:r w:rsidRPr="00715845">
        <w:rPr>
          <w:rStyle w:val="normaltextrun"/>
          <w:rFonts w:ascii="Arial" w:hAnsi="Arial" w:cs="Arial"/>
          <w:sz w:val="22"/>
        </w:rPr>
        <w:t xml:space="preserve"> o nuestras redes sociales:  </w:t>
      </w:r>
      <w:r w:rsidRPr="0016137F">
        <w:rPr>
          <w:rStyle w:val="eop"/>
          <w:rFonts w:ascii="Arial" w:hAnsi="Arial" w:cs="Arial"/>
          <w:sz w:val="22"/>
        </w:rPr>
        <w:t> </w:t>
      </w:r>
    </w:p>
    <w:p w14:paraId="21B7B5CF" w14:textId="77777777" w:rsidR="00715845" w:rsidRPr="00341BFD" w:rsidRDefault="00715845" w:rsidP="00715845">
      <w:pPr>
        <w:spacing w:after="0"/>
        <w:jc w:val="both"/>
        <w:rPr>
          <w:rFonts w:ascii="Arial" w:hAnsi="Arial" w:cs="Arial"/>
          <w:b/>
          <w:color w:val="1F4E79"/>
        </w:rPr>
      </w:pPr>
      <w:r w:rsidRPr="00341BFD">
        <w:rPr>
          <w:rFonts w:ascii="Arial" w:hAnsi="Arial" w:cs="Arial"/>
          <w:b/>
          <w:color w:val="1F4E79"/>
        </w:rPr>
        <w:t>Visite nuestras páginas en las redes sociales</w:t>
      </w:r>
    </w:p>
    <w:p w14:paraId="1FC6927A" w14:textId="77777777" w:rsidR="00715845" w:rsidRPr="00715845" w:rsidRDefault="00715845" w:rsidP="00715845">
      <w:pPr>
        <w:spacing w:line="276" w:lineRule="auto"/>
        <w:jc w:val="both"/>
        <w:rPr>
          <w:rFonts w:ascii="Arial" w:hAnsi="Arial" w:cs="Arial"/>
        </w:rPr>
      </w:pPr>
      <w:r w:rsidRPr="005B72A9">
        <w:rPr>
          <w:rFonts w:ascii="Arial" w:hAnsi="Arial" w:cs="Arial"/>
          <w:noProof/>
        </w:rPr>
        <w:drawing>
          <wp:inline distT="0" distB="0" distL="0" distR="0" wp14:anchorId="1FEE28B7" wp14:editId="0E9CB885">
            <wp:extent cx="308610" cy="308610"/>
            <wp:effectExtent l="0" t="0" r="0" b="0"/>
            <wp:docPr id="1531475057" name="Picture 17" descr="C:\Users\ANNA~1.BRO\AppData\Local\Temp\Rar$DRa16100.13962\twitter_003.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9">
                      <a:extLst>
                        <a:ext uri="{28A0092B-C50C-407E-A947-70E740481C1C}">
                          <a14:useLocalDpi xmlns:a14="http://schemas.microsoft.com/office/drawing/2010/main" val="0"/>
                        </a:ext>
                      </a:extLst>
                    </a:blip>
                    <a:stretch>
                      <a:fillRect/>
                    </a:stretch>
                  </pic:blipFill>
                  <pic:spPr>
                    <a:xfrm>
                      <a:off x="0" y="0"/>
                      <a:ext cx="308610" cy="308610"/>
                    </a:xfrm>
                    <a:prstGeom prst="rect">
                      <a:avLst/>
                    </a:prstGeom>
                  </pic:spPr>
                </pic:pic>
              </a:graphicData>
            </a:graphic>
          </wp:inline>
        </w:drawing>
      </w:r>
      <w:r w:rsidRPr="00715845">
        <w:rPr>
          <w:rFonts w:ascii="Arial" w:hAnsi="Arial" w:cs="Arial"/>
          <w:color w:val="000000" w:themeColor="text1"/>
        </w:rPr>
        <w:t xml:space="preserve"> </w:t>
      </w:r>
      <w:r w:rsidRPr="005B72A9">
        <w:rPr>
          <w:rFonts w:ascii="Arial" w:hAnsi="Arial" w:cs="Arial"/>
          <w:noProof/>
        </w:rPr>
        <w:drawing>
          <wp:inline distT="0" distB="0" distL="0" distR="0" wp14:anchorId="2D5F7719" wp14:editId="4268B713">
            <wp:extent cx="308610" cy="308610"/>
            <wp:effectExtent l="0" t="0" r="0" b="0"/>
            <wp:docPr id="1846269520" name="Picture 4" descr="C:\Users\ANNA~1.BRO\AppData\Local\Temp\Rar$DRa11280.15878\instagram_003.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308610" cy="308610"/>
                    </a:xfrm>
                    <a:prstGeom prst="rect">
                      <a:avLst/>
                    </a:prstGeom>
                  </pic:spPr>
                </pic:pic>
              </a:graphicData>
            </a:graphic>
          </wp:inline>
        </w:drawing>
      </w:r>
      <w:r w:rsidRPr="00715845">
        <w:rPr>
          <w:rFonts w:ascii="Arial" w:hAnsi="Arial" w:cs="Arial"/>
          <w:color w:val="000000" w:themeColor="text1"/>
        </w:rPr>
        <w:t xml:space="preserve"> </w:t>
      </w:r>
      <w:r w:rsidRPr="005B72A9">
        <w:rPr>
          <w:rFonts w:ascii="Arial" w:hAnsi="Arial" w:cs="Arial"/>
          <w:noProof/>
        </w:rPr>
        <w:drawing>
          <wp:inline distT="0" distB="0" distL="0" distR="0" wp14:anchorId="46442832" wp14:editId="3FC6ED44">
            <wp:extent cx="308610" cy="308610"/>
            <wp:effectExtent l="0" t="0" r="0" b="0"/>
            <wp:docPr id="1453266347" name="Picture 5" descr="C:\Users\ANNA~1.BRO\AppData\Local\Temp\Rar$DRa8868.17742\facebook_003.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3">
                      <a:extLst>
                        <a:ext uri="{28A0092B-C50C-407E-A947-70E740481C1C}">
                          <a14:useLocalDpi xmlns:a14="http://schemas.microsoft.com/office/drawing/2010/main" val="0"/>
                        </a:ext>
                      </a:extLst>
                    </a:blip>
                    <a:stretch>
                      <a:fillRect/>
                    </a:stretch>
                  </pic:blipFill>
                  <pic:spPr>
                    <a:xfrm>
                      <a:off x="0" y="0"/>
                      <a:ext cx="308610" cy="308610"/>
                    </a:xfrm>
                    <a:prstGeom prst="rect">
                      <a:avLst/>
                    </a:prstGeom>
                  </pic:spPr>
                </pic:pic>
              </a:graphicData>
            </a:graphic>
          </wp:inline>
        </w:drawing>
      </w:r>
      <w:r w:rsidRPr="00715845">
        <w:rPr>
          <w:rFonts w:ascii="Arial" w:hAnsi="Arial" w:cs="Arial"/>
          <w:color w:val="000000" w:themeColor="text1"/>
        </w:rPr>
        <w:t xml:space="preserve"> </w:t>
      </w:r>
      <w:r w:rsidRPr="005B72A9">
        <w:rPr>
          <w:rFonts w:ascii="Arial" w:hAnsi="Arial" w:cs="Arial"/>
          <w:noProof/>
        </w:rPr>
        <w:drawing>
          <wp:inline distT="0" distB="0" distL="0" distR="0" wp14:anchorId="4D892125" wp14:editId="20C9614F">
            <wp:extent cx="308610" cy="308610"/>
            <wp:effectExtent l="0" t="0" r="0" b="0"/>
            <wp:docPr id="422099956" name="Picture 6" descr="C:\Users\ANNA~1.BRO\AppData\Local\Temp\Rar$DRa11400.20104\linkedin_003.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5">
                      <a:extLst>
                        <a:ext uri="{28A0092B-C50C-407E-A947-70E740481C1C}">
                          <a14:useLocalDpi xmlns:a14="http://schemas.microsoft.com/office/drawing/2010/main" val="0"/>
                        </a:ext>
                      </a:extLst>
                    </a:blip>
                    <a:stretch>
                      <a:fillRect/>
                    </a:stretch>
                  </pic:blipFill>
                  <pic:spPr>
                    <a:xfrm>
                      <a:off x="0" y="0"/>
                      <a:ext cx="308610" cy="308610"/>
                    </a:xfrm>
                    <a:prstGeom prst="rect">
                      <a:avLst/>
                    </a:prstGeom>
                  </pic:spPr>
                </pic:pic>
              </a:graphicData>
            </a:graphic>
          </wp:inline>
        </w:drawing>
      </w:r>
      <w:r w:rsidRPr="00715845">
        <w:rPr>
          <w:rFonts w:ascii="Arial" w:hAnsi="Arial" w:cs="Arial"/>
          <w:color w:val="000000" w:themeColor="text1"/>
        </w:rPr>
        <w:t xml:space="preserve"> </w:t>
      </w:r>
      <w:r w:rsidRPr="005B72A9">
        <w:rPr>
          <w:rFonts w:ascii="Arial" w:hAnsi="Arial" w:cs="Arial"/>
          <w:noProof/>
        </w:rPr>
        <w:drawing>
          <wp:inline distT="0" distB="0" distL="0" distR="0" wp14:anchorId="68A6D782" wp14:editId="63A67ED3">
            <wp:extent cx="308610" cy="308610"/>
            <wp:effectExtent l="0" t="0" r="0" b="0"/>
            <wp:docPr id="739416065" name="Picture 7" descr="C:\Users\ANNA~1.BRO\AppData\Local\Temp\Rar$DRa18108.21811\youtube_003.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7">
                      <a:extLst>
                        <a:ext uri="{28A0092B-C50C-407E-A947-70E740481C1C}">
                          <a14:useLocalDpi xmlns:a14="http://schemas.microsoft.com/office/drawing/2010/main" val="0"/>
                        </a:ext>
                      </a:extLst>
                    </a:blip>
                    <a:stretch>
                      <a:fillRect/>
                    </a:stretch>
                  </pic:blipFill>
                  <pic:spPr>
                    <a:xfrm>
                      <a:off x="0" y="0"/>
                      <a:ext cx="308610" cy="308610"/>
                    </a:xfrm>
                    <a:prstGeom prst="rect">
                      <a:avLst/>
                    </a:prstGeom>
                  </pic:spPr>
                </pic:pic>
              </a:graphicData>
            </a:graphic>
          </wp:inline>
        </w:drawing>
      </w:r>
    </w:p>
    <w:p w14:paraId="18F412C7" w14:textId="1168C81D" w:rsidR="00593BF7" w:rsidRDefault="00006705" w:rsidP="00B9106E">
      <w:pPr>
        <w:spacing w:after="0"/>
        <w:jc w:val="both"/>
        <w:rPr>
          <w:rFonts w:ascii="Arial" w:hAnsi="Arial" w:cs="Arial"/>
          <w:b/>
          <w:bCs/>
          <w:color w:val="1F4E79"/>
          <w:sz w:val="24"/>
          <w:szCs w:val="24"/>
        </w:rPr>
      </w:pPr>
      <w:r w:rsidRPr="00341BFD">
        <w:rPr>
          <w:rFonts w:ascii="Arial" w:hAnsi="Arial" w:cs="Arial"/>
          <w:b/>
          <w:bCs/>
          <w:color w:val="1F4E79"/>
          <w:sz w:val="24"/>
          <w:szCs w:val="24"/>
        </w:rPr>
        <w:t xml:space="preserve">Asociación </w:t>
      </w:r>
      <w:r w:rsidR="00593BF7">
        <w:rPr>
          <w:rFonts w:ascii="Arial" w:hAnsi="Arial" w:cs="Arial"/>
          <w:b/>
          <w:bCs/>
          <w:color w:val="1F4E79"/>
          <w:sz w:val="24"/>
          <w:szCs w:val="24"/>
        </w:rPr>
        <w:t>de Grandes Atuneros Congeladores (AGAC)</w:t>
      </w:r>
    </w:p>
    <w:p w14:paraId="6D5983CD" w14:textId="71002388" w:rsidR="00655BD8" w:rsidRDefault="00655BD8" w:rsidP="001474F6">
      <w:pPr>
        <w:pStyle w:val="NormalWeb"/>
        <w:shd w:val="clear" w:color="auto" w:fill="FFFFFF"/>
        <w:spacing w:before="0" w:beforeAutospacing="0" w:after="240" w:afterAutospacing="0"/>
        <w:jc w:val="both"/>
        <w:textAlignment w:val="baseline"/>
        <w:rPr>
          <w:rFonts w:ascii="Arial" w:eastAsiaTheme="minorHAnsi" w:hAnsi="Arial" w:cs="Arial"/>
          <w:sz w:val="22"/>
          <w:szCs w:val="22"/>
          <w:lang w:val="es-ES"/>
        </w:rPr>
      </w:pPr>
      <w:r w:rsidRPr="00655BD8">
        <w:rPr>
          <w:rFonts w:ascii="Arial" w:eastAsiaTheme="minorHAnsi" w:hAnsi="Arial" w:cs="Arial"/>
          <w:sz w:val="22"/>
          <w:szCs w:val="22"/>
          <w:lang w:val="es-ES"/>
        </w:rPr>
        <w:t xml:space="preserve">Constituida </w:t>
      </w:r>
      <w:r w:rsidR="00593BF7" w:rsidRPr="001474F6">
        <w:rPr>
          <w:rFonts w:ascii="Arial" w:eastAsiaTheme="minorHAnsi" w:hAnsi="Arial" w:cs="Arial"/>
          <w:sz w:val="22"/>
          <w:szCs w:val="22"/>
          <w:lang w:val="es-ES"/>
        </w:rPr>
        <w:t>el 4 de julio de 1980, asociación de armadores de buques atuneros congeladores de al menos 750 toneladas de registro TRB</w:t>
      </w:r>
      <w:r>
        <w:rPr>
          <w:rFonts w:ascii="Arial" w:eastAsiaTheme="minorHAnsi" w:hAnsi="Arial" w:cs="Arial"/>
          <w:sz w:val="22"/>
          <w:szCs w:val="22"/>
          <w:lang w:val="es-ES"/>
        </w:rPr>
        <w:t xml:space="preserve">, </w:t>
      </w:r>
      <w:r w:rsidR="006039B1">
        <w:rPr>
          <w:rFonts w:ascii="Arial" w:eastAsiaTheme="minorHAnsi" w:hAnsi="Arial" w:cs="Arial"/>
          <w:sz w:val="22"/>
          <w:szCs w:val="22"/>
          <w:lang w:val="es-ES"/>
        </w:rPr>
        <w:t xml:space="preserve">la Asociación de Grandes Atuneros Congeladores </w:t>
      </w:r>
      <w:r w:rsidR="006039B1">
        <w:rPr>
          <w:rFonts w:ascii="Arial" w:eastAsiaTheme="minorHAnsi" w:hAnsi="Arial" w:cs="Arial"/>
          <w:b/>
          <w:bCs/>
          <w:sz w:val="22"/>
          <w:szCs w:val="22"/>
          <w:lang w:val="es-ES"/>
        </w:rPr>
        <w:t>(</w:t>
      </w:r>
      <w:r w:rsidR="00593BF7" w:rsidRPr="001474F6">
        <w:rPr>
          <w:rFonts w:ascii="Arial" w:eastAsiaTheme="minorHAnsi" w:hAnsi="Arial" w:cs="Arial"/>
          <w:b/>
          <w:bCs/>
          <w:sz w:val="22"/>
          <w:szCs w:val="22"/>
          <w:lang w:val="es-ES"/>
        </w:rPr>
        <w:t>AGAC</w:t>
      </w:r>
      <w:r w:rsidR="006039B1">
        <w:rPr>
          <w:rFonts w:ascii="Arial" w:eastAsiaTheme="minorHAnsi" w:hAnsi="Arial" w:cs="Arial"/>
          <w:b/>
          <w:bCs/>
          <w:sz w:val="22"/>
          <w:szCs w:val="22"/>
          <w:lang w:val="es-ES"/>
        </w:rPr>
        <w:t xml:space="preserve">) </w:t>
      </w:r>
      <w:r w:rsidR="00593BF7" w:rsidRPr="001474F6">
        <w:rPr>
          <w:rFonts w:ascii="Arial" w:eastAsiaTheme="minorHAnsi" w:hAnsi="Arial" w:cs="Arial"/>
          <w:sz w:val="22"/>
          <w:szCs w:val="22"/>
          <w:lang w:val="es-ES"/>
        </w:rPr>
        <w:t xml:space="preserve">inició su andadura con cinco empresas, aunque en pocos años se vieron incrementadas a siete, con el objetivo de representar los intereses de un inquieto grupo de armadores dedicados a la pesquería de túnidos tropicales con la visión global que esta pesquería luego ha demostrado tener. </w:t>
      </w:r>
    </w:p>
    <w:p w14:paraId="15DBD5B2" w14:textId="3ACE0BA9" w:rsidR="00655BD8" w:rsidRPr="001474F6" w:rsidRDefault="00593BF7">
      <w:pPr>
        <w:pStyle w:val="NormalWeb"/>
        <w:shd w:val="clear" w:color="auto" w:fill="FFFFFF"/>
        <w:spacing w:before="0" w:beforeAutospacing="0" w:after="240" w:afterAutospacing="0"/>
        <w:jc w:val="both"/>
        <w:textAlignment w:val="baseline"/>
        <w:rPr>
          <w:rFonts w:ascii="Arial" w:eastAsiaTheme="minorHAnsi" w:hAnsi="Arial" w:cs="Arial"/>
          <w:sz w:val="22"/>
          <w:szCs w:val="22"/>
          <w:lang w:val="es-ES"/>
        </w:rPr>
      </w:pPr>
      <w:r w:rsidRPr="001474F6">
        <w:rPr>
          <w:rFonts w:ascii="Arial" w:eastAsiaTheme="minorHAnsi" w:hAnsi="Arial" w:cs="Arial"/>
          <w:sz w:val="22"/>
          <w:szCs w:val="22"/>
          <w:lang w:val="es-ES"/>
        </w:rPr>
        <w:t>Actualmente</w:t>
      </w:r>
      <w:r w:rsidR="00655BD8">
        <w:rPr>
          <w:rFonts w:ascii="Arial" w:eastAsiaTheme="minorHAnsi" w:hAnsi="Arial" w:cs="Arial"/>
          <w:sz w:val="22"/>
          <w:szCs w:val="22"/>
          <w:lang w:val="es-ES"/>
        </w:rPr>
        <w:t xml:space="preserve">, la asociación </w:t>
      </w:r>
      <w:r w:rsidRPr="001474F6">
        <w:rPr>
          <w:rFonts w:ascii="Arial" w:eastAsiaTheme="minorHAnsi" w:hAnsi="Arial" w:cs="Arial"/>
          <w:sz w:val="22"/>
          <w:szCs w:val="22"/>
          <w:lang w:val="es-ES"/>
        </w:rPr>
        <w:t>está formad</w:t>
      </w:r>
      <w:r w:rsidR="00655BD8">
        <w:rPr>
          <w:rFonts w:ascii="Arial" w:eastAsiaTheme="minorHAnsi" w:hAnsi="Arial" w:cs="Arial"/>
          <w:sz w:val="22"/>
          <w:szCs w:val="22"/>
          <w:lang w:val="es-ES"/>
        </w:rPr>
        <w:t>a</w:t>
      </w:r>
      <w:r w:rsidRPr="001474F6">
        <w:rPr>
          <w:rFonts w:ascii="Arial" w:eastAsiaTheme="minorHAnsi" w:hAnsi="Arial" w:cs="Arial"/>
          <w:sz w:val="22"/>
          <w:szCs w:val="22"/>
          <w:lang w:val="es-ES"/>
        </w:rPr>
        <w:t xml:space="preserve"> por nueve grupos de armadores</w:t>
      </w:r>
      <w:r w:rsidR="00655BD8">
        <w:rPr>
          <w:rFonts w:ascii="Arial" w:eastAsiaTheme="minorHAnsi" w:hAnsi="Arial" w:cs="Arial"/>
          <w:sz w:val="22"/>
          <w:szCs w:val="22"/>
          <w:lang w:val="es-ES"/>
        </w:rPr>
        <w:t xml:space="preserve">, que incluyen barcos españoles (agrupados en OPAGAC) e inversiones de estos armadores en barcos de países costeros de Ecuador, Seychelles, El Salvador, </w:t>
      </w:r>
      <w:proofErr w:type="spellStart"/>
      <w:r w:rsidR="00655BD8">
        <w:rPr>
          <w:rFonts w:ascii="Arial" w:eastAsiaTheme="minorHAnsi" w:hAnsi="Arial" w:cs="Arial"/>
          <w:sz w:val="22"/>
          <w:szCs w:val="22"/>
          <w:lang w:val="es-ES"/>
        </w:rPr>
        <w:t>Curaçao</w:t>
      </w:r>
      <w:proofErr w:type="spellEnd"/>
      <w:r w:rsidR="00655BD8">
        <w:rPr>
          <w:rFonts w:ascii="Arial" w:eastAsiaTheme="minorHAnsi" w:hAnsi="Arial" w:cs="Arial"/>
          <w:sz w:val="22"/>
          <w:szCs w:val="22"/>
          <w:lang w:val="es-ES"/>
        </w:rPr>
        <w:t>, Panamá, Guatemala</w:t>
      </w:r>
      <w:r w:rsidR="009818A8">
        <w:rPr>
          <w:rFonts w:ascii="Arial" w:eastAsiaTheme="minorHAnsi" w:hAnsi="Arial" w:cs="Arial"/>
          <w:sz w:val="22"/>
          <w:szCs w:val="22"/>
          <w:lang w:val="es-ES"/>
        </w:rPr>
        <w:t>, Mauricio, Tanzania</w:t>
      </w:r>
      <w:r w:rsidR="00655BD8">
        <w:rPr>
          <w:rFonts w:ascii="Arial" w:eastAsiaTheme="minorHAnsi" w:hAnsi="Arial" w:cs="Arial"/>
          <w:sz w:val="22"/>
          <w:szCs w:val="22"/>
          <w:lang w:val="es-ES"/>
        </w:rPr>
        <w:t xml:space="preserve"> y </w:t>
      </w:r>
      <w:r w:rsidR="009818A8">
        <w:rPr>
          <w:rFonts w:ascii="Arial" w:eastAsiaTheme="minorHAnsi" w:hAnsi="Arial" w:cs="Arial"/>
          <w:sz w:val="22"/>
          <w:szCs w:val="22"/>
          <w:lang w:val="es-ES"/>
        </w:rPr>
        <w:t>Omán</w:t>
      </w:r>
      <w:r w:rsidR="00655BD8">
        <w:rPr>
          <w:rFonts w:ascii="Arial" w:eastAsiaTheme="minorHAnsi" w:hAnsi="Arial" w:cs="Arial"/>
          <w:sz w:val="22"/>
          <w:szCs w:val="22"/>
          <w:lang w:val="es-ES"/>
        </w:rPr>
        <w:t>.</w:t>
      </w:r>
    </w:p>
    <w:sectPr w:rsidR="00655BD8" w:rsidRPr="001474F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4174" w14:textId="77777777" w:rsidR="00D74FB8" w:rsidRDefault="00D74FB8" w:rsidP="008B1650">
      <w:pPr>
        <w:spacing w:after="0" w:line="240" w:lineRule="auto"/>
      </w:pPr>
      <w:r>
        <w:separator/>
      </w:r>
    </w:p>
  </w:endnote>
  <w:endnote w:type="continuationSeparator" w:id="0">
    <w:p w14:paraId="7F38400E" w14:textId="77777777" w:rsidR="00D74FB8" w:rsidRDefault="00D74FB8" w:rsidP="008B1650">
      <w:pPr>
        <w:spacing w:after="0" w:line="240" w:lineRule="auto"/>
      </w:pPr>
      <w:r>
        <w:continuationSeparator/>
      </w:r>
    </w:p>
  </w:endnote>
  <w:endnote w:type="continuationNotice" w:id="1">
    <w:p w14:paraId="56558D68" w14:textId="77777777" w:rsidR="00D74FB8" w:rsidRDefault="00D74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810D" w14:textId="77777777" w:rsidR="00D74FB8" w:rsidRDefault="00D74FB8" w:rsidP="008B1650">
      <w:pPr>
        <w:spacing w:after="0" w:line="240" w:lineRule="auto"/>
      </w:pPr>
      <w:r>
        <w:separator/>
      </w:r>
    </w:p>
  </w:footnote>
  <w:footnote w:type="continuationSeparator" w:id="0">
    <w:p w14:paraId="203B2C5A" w14:textId="77777777" w:rsidR="00D74FB8" w:rsidRDefault="00D74FB8" w:rsidP="008B1650">
      <w:pPr>
        <w:spacing w:after="0" w:line="240" w:lineRule="auto"/>
      </w:pPr>
      <w:r>
        <w:continuationSeparator/>
      </w:r>
    </w:p>
  </w:footnote>
  <w:footnote w:type="continuationNotice" w:id="1">
    <w:p w14:paraId="2CB3371A" w14:textId="77777777" w:rsidR="00D74FB8" w:rsidRDefault="00D74FB8">
      <w:pPr>
        <w:spacing w:after="0" w:line="240" w:lineRule="auto"/>
      </w:pPr>
    </w:p>
  </w:footnote>
  <w:footnote w:id="2">
    <w:p w14:paraId="0BC79152" w14:textId="77777777" w:rsidR="00E64CC1" w:rsidRPr="00183E42" w:rsidRDefault="00E64CC1" w:rsidP="00E64CC1">
      <w:pPr>
        <w:pStyle w:val="Textonotapie"/>
        <w:rPr>
          <w:lang w:val="en-US"/>
        </w:rPr>
      </w:pPr>
      <w:r>
        <w:rPr>
          <w:rStyle w:val="Refdenotaalpie"/>
        </w:rPr>
        <w:footnoteRef/>
      </w:r>
      <w:r>
        <w:t xml:space="preserve"> </w:t>
      </w:r>
      <w:r w:rsidRPr="00354EF7">
        <w:t>https://www.azti.es/en/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994"/>
    <w:multiLevelType w:val="multilevel"/>
    <w:tmpl w:val="F2F41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4342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SwMDC3MDA0MTQxtbBU0lEKTi0uzszPAykwrAUASCJulCwAAAA="/>
  </w:docVars>
  <w:rsids>
    <w:rsidRoot w:val="00ED5A5A"/>
    <w:rsid w:val="00006705"/>
    <w:rsid w:val="00025CB5"/>
    <w:rsid w:val="00036EF3"/>
    <w:rsid w:val="000425A1"/>
    <w:rsid w:val="00047322"/>
    <w:rsid w:val="00054647"/>
    <w:rsid w:val="00060A77"/>
    <w:rsid w:val="00087F1A"/>
    <w:rsid w:val="000A7FB7"/>
    <w:rsid w:val="000B0E3B"/>
    <w:rsid w:val="000B48C4"/>
    <w:rsid w:val="000D2908"/>
    <w:rsid w:val="000E7643"/>
    <w:rsid w:val="001035D1"/>
    <w:rsid w:val="001256A3"/>
    <w:rsid w:val="00125C35"/>
    <w:rsid w:val="00134A78"/>
    <w:rsid w:val="001445EF"/>
    <w:rsid w:val="001474F6"/>
    <w:rsid w:val="00156C28"/>
    <w:rsid w:val="0016137F"/>
    <w:rsid w:val="0016768A"/>
    <w:rsid w:val="00177B50"/>
    <w:rsid w:val="00187A32"/>
    <w:rsid w:val="001B45E4"/>
    <w:rsid w:val="001C4797"/>
    <w:rsid w:val="001D00D5"/>
    <w:rsid w:val="001D3091"/>
    <w:rsid w:val="001E5FF6"/>
    <w:rsid w:val="001F5377"/>
    <w:rsid w:val="00216DEB"/>
    <w:rsid w:val="00241862"/>
    <w:rsid w:val="00245787"/>
    <w:rsid w:val="00246311"/>
    <w:rsid w:val="00247B47"/>
    <w:rsid w:val="0027025D"/>
    <w:rsid w:val="002704FF"/>
    <w:rsid w:val="002750A7"/>
    <w:rsid w:val="00291500"/>
    <w:rsid w:val="002A14B0"/>
    <w:rsid w:val="002D1B4F"/>
    <w:rsid w:val="002E5245"/>
    <w:rsid w:val="002F6D92"/>
    <w:rsid w:val="00302C3E"/>
    <w:rsid w:val="00327D2D"/>
    <w:rsid w:val="00330345"/>
    <w:rsid w:val="0033682B"/>
    <w:rsid w:val="00341BFD"/>
    <w:rsid w:val="00376679"/>
    <w:rsid w:val="00380197"/>
    <w:rsid w:val="003A7607"/>
    <w:rsid w:val="003C2D20"/>
    <w:rsid w:val="003F0FDD"/>
    <w:rsid w:val="003F57BE"/>
    <w:rsid w:val="00411C01"/>
    <w:rsid w:val="00436673"/>
    <w:rsid w:val="00445AA9"/>
    <w:rsid w:val="00447B35"/>
    <w:rsid w:val="00453707"/>
    <w:rsid w:val="00497375"/>
    <w:rsid w:val="004B5BE7"/>
    <w:rsid w:val="004B68B9"/>
    <w:rsid w:val="004C3F86"/>
    <w:rsid w:val="004F4ABD"/>
    <w:rsid w:val="00531935"/>
    <w:rsid w:val="00535A60"/>
    <w:rsid w:val="005418DC"/>
    <w:rsid w:val="00546FB6"/>
    <w:rsid w:val="005621E7"/>
    <w:rsid w:val="00567DCA"/>
    <w:rsid w:val="0059242A"/>
    <w:rsid w:val="00593BF7"/>
    <w:rsid w:val="005B72A9"/>
    <w:rsid w:val="005E2162"/>
    <w:rsid w:val="00603866"/>
    <w:rsid w:val="006039B1"/>
    <w:rsid w:val="00604F36"/>
    <w:rsid w:val="00623AA8"/>
    <w:rsid w:val="00655BD8"/>
    <w:rsid w:val="0066579C"/>
    <w:rsid w:val="00672B90"/>
    <w:rsid w:val="00680FA6"/>
    <w:rsid w:val="006852F0"/>
    <w:rsid w:val="0069232F"/>
    <w:rsid w:val="0069639E"/>
    <w:rsid w:val="006A0E66"/>
    <w:rsid w:val="006C0945"/>
    <w:rsid w:val="006C0C68"/>
    <w:rsid w:val="006C2EE0"/>
    <w:rsid w:val="006F0ECA"/>
    <w:rsid w:val="006F722D"/>
    <w:rsid w:val="00701C55"/>
    <w:rsid w:val="00714815"/>
    <w:rsid w:val="007152F8"/>
    <w:rsid w:val="00715845"/>
    <w:rsid w:val="00732B9E"/>
    <w:rsid w:val="00734A3B"/>
    <w:rsid w:val="00737110"/>
    <w:rsid w:val="0074725A"/>
    <w:rsid w:val="007628F2"/>
    <w:rsid w:val="00777008"/>
    <w:rsid w:val="007C0597"/>
    <w:rsid w:val="007C1E1B"/>
    <w:rsid w:val="007E0543"/>
    <w:rsid w:val="007E0E4C"/>
    <w:rsid w:val="007E3465"/>
    <w:rsid w:val="007F71A7"/>
    <w:rsid w:val="00805712"/>
    <w:rsid w:val="00813E31"/>
    <w:rsid w:val="00816E22"/>
    <w:rsid w:val="00830392"/>
    <w:rsid w:val="00870911"/>
    <w:rsid w:val="00876C4E"/>
    <w:rsid w:val="00883C11"/>
    <w:rsid w:val="00885455"/>
    <w:rsid w:val="00891BA2"/>
    <w:rsid w:val="008B1650"/>
    <w:rsid w:val="008B28AA"/>
    <w:rsid w:val="008B6870"/>
    <w:rsid w:val="008C520A"/>
    <w:rsid w:val="008E78F2"/>
    <w:rsid w:val="0092148B"/>
    <w:rsid w:val="00970431"/>
    <w:rsid w:val="009818A8"/>
    <w:rsid w:val="009A126C"/>
    <w:rsid w:val="009C5F0A"/>
    <w:rsid w:val="009D2B88"/>
    <w:rsid w:val="009E1DB9"/>
    <w:rsid w:val="009E2636"/>
    <w:rsid w:val="009F1A14"/>
    <w:rsid w:val="009F573A"/>
    <w:rsid w:val="00A01BF5"/>
    <w:rsid w:val="00A05859"/>
    <w:rsid w:val="00A13D01"/>
    <w:rsid w:val="00A27CB6"/>
    <w:rsid w:val="00A316ED"/>
    <w:rsid w:val="00A34F72"/>
    <w:rsid w:val="00A73384"/>
    <w:rsid w:val="00AE00B0"/>
    <w:rsid w:val="00AE0AD5"/>
    <w:rsid w:val="00B07753"/>
    <w:rsid w:val="00B07E76"/>
    <w:rsid w:val="00B31BCD"/>
    <w:rsid w:val="00B641D6"/>
    <w:rsid w:val="00B9106E"/>
    <w:rsid w:val="00BA0C4B"/>
    <w:rsid w:val="00BA585B"/>
    <w:rsid w:val="00C078FB"/>
    <w:rsid w:val="00C1212C"/>
    <w:rsid w:val="00C26928"/>
    <w:rsid w:val="00C44DEC"/>
    <w:rsid w:val="00C45008"/>
    <w:rsid w:val="00C51E61"/>
    <w:rsid w:val="00C6773D"/>
    <w:rsid w:val="00C7269C"/>
    <w:rsid w:val="00C7633F"/>
    <w:rsid w:val="00C95DF2"/>
    <w:rsid w:val="00C95E66"/>
    <w:rsid w:val="00CA4558"/>
    <w:rsid w:val="00CB567B"/>
    <w:rsid w:val="00CC3826"/>
    <w:rsid w:val="00CD47C2"/>
    <w:rsid w:val="00CD5424"/>
    <w:rsid w:val="00CE6E43"/>
    <w:rsid w:val="00D02852"/>
    <w:rsid w:val="00D0341F"/>
    <w:rsid w:val="00D161B2"/>
    <w:rsid w:val="00D211A0"/>
    <w:rsid w:val="00D62CBC"/>
    <w:rsid w:val="00D74FB8"/>
    <w:rsid w:val="00D863D7"/>
    <w:rsid w:val="00D979C1"/>
    <w:rsid w:val="00DA3E4D"/>
    <w:rsid w:val="00DD0AE3"/>
    <w:rsid w:val="00DD400A"/>
    <w:rsid w:val="00E00FFB"/>
    <w:rsid w:val="00E04225"/>
    <w:rsid w:val="00E16509"/>
    <w:rsid w:val="00E245A1"/>
    <w:rsid w:val="00E25647"/>
    <w:rsid w:val="00E2786E"/>
    <w:rsid w:val="00E33F9A"/>
    <w:rsid w:val="00E3727D"/>
    <w:rsid w:val="00E46328"/>
    <w:rsid w:val="00E64CC1"/>
    <w:rsid w:val="00E961FF"/>
    <w:rsid w:val="00E97ACF"/>
    <w:rsid w:val="00EA495F"/>
    <w:rsid w:val="00EC19AD"/>
    <w:rsid w:val="00EC7289"/>
    <w:rsid w:val="00ED3291"/>
    <w:rsid w:val="00ED5A5A"/>
    <w:rsid w:val="00ED6946"/>
    <w:rsid w:val="00F06FAD"/>
    <w:rsid w:val="00F25241"/>
    <w:rsid w:val="00F265DD"/>
    <w:rsid w:val="00F30126"/>
    <w:rsid w:val="00F37C4D"/>
    <w:rsid w:val="00F552B1"/>
    <w:rsid w:val="00F64903"/>
    <w:rsid w:val="00F66BDE"/>
    <w:rsid w:val="00F82A24"/>
    <w:rsid w:val="00F9008C"/>
    <w:rsid w:val="00FA79BA"/>
    <w:rsid w:val="00FB3F67"/>
    <w:rsid w:val="00FC03FF"/>
    <w:rsid w:val="00FC39D3"/>
    <w:rsid w:val="00FD6554"/>
    <w:rsid w:val="00FD69B2"/>
    <w:rsid w:val="00FE44EA"/>
    <w:rsid w:val="00FF24AF"/>
    <w:rsid w:val="0C81A525"/>
    <w:rsid w:val="0EF2D9B8"/>
    <w:rsid w:val="13318FA9"/>
    <w:rsid w:val="1A67F316"/>
    <w:rsid w:val="1AB7A23C"/>
    <w:rsid w:val="20A136DC"/>
    <w:rsid w:val="211E38A0"/>
    <w:rsid w:val="2259DC9E"/>
    <w:rsid w:val="23A967B6"/>
    <w:rsid w:val="23D46E3D"/>
    <w:rsid w:val="23FF13BB"/>
    <w:rsid w:val="2473EF2B"/>
    <w:rsid w:val="2594A48E"/>
    <w:rsid w:val="26165F9A"/>
    <w:rsid w:val="27DD48B5"/>
    <w:rsid w:val="29AFC9C3"/>
    <w:rsid w:val="2A551C5E"/>
    <w:rsid w:val="2D41191A"/>
    <w:rsid w:val="341D250B"/>
    <w:rsid w:val="369F4E13"/>
    <w:rsid w:val="3754C5CD"/>
    <w:rsid w:val="3B652FA3"/>
    <w:rsid w:val="3E4B4C0E"/>
    <w:rsid w:val="43661200"/>
    <w:rsid w:val="469DB2C2"/>
    <w:rsid w:val="4C0469AC"/>
    <w:rsid w:val="5076455D"/>
    <w:rsid w:val="51E2FFB7"/>
    <w:rsid w:val="5273AB30"/>
    <w:rsid w:val="541F75C6"/>
    <w:rsid w:val="55AB4BF2"/>
    <w:rsid w:val="59AC1005"/>
    <w:rsid w:val="5A7EBD15"/>
    <w:rsid w:val="5C2D5CDF"/>
    <w:rsid w:val="5FC31DD1"/>
    <w:rsid w:val="6002292C"/>
    <w:rsid w:val="6291BC80"/>
    <w:rsid w:val="63558FFE"/>
    <w:rsid w:val="64BB44CB"/>
    <w:rsid w:val="65CDD2EA"/>
    <w:rsid w:val="660B5ED9"/>
    <w:rsid w:val="6ACAC806"/>
    <w:rsid w:val="6B345F10"/>
    <w:rsid w:val="710C0FE9"/>
    <w:rsid w:val="7141B465"/>
    <w:rsid w:val="742A884E"/>
    <w:rsid w:val="788D7F31"/>
    <w:rsid w:val="7CA21869"/>
    <w:rsid w:val="7D295D26"/>
    <w:rsid w:val="7D38E00C"/>
    <w:rsid w:val="7EC52D8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4815"/>
  <w15:chartTrackingRefBased/>
  <w15:docId w15:val="{12858A98-2A5F-439B-9D1A-AB397448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28"/>
  </w:style>
  <w:style w:type="paragraph" w:styleId="Ttulo2">
    <w:name w:val="heading 2"/>
    <w:basedOn w:val="Normal"/>
    <w:next w:val="Normal"/>
    <w:link w:val="Ttulo2Car"/>
    <w:uiPriority w:val="9"/>
    <w:semiHidden/>
    <w:unhideWhenUsed/>
    <w:qFormat/>
    <w:rsid w:val="00FC39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445AA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5A5A"/>
    <w:rPr>
      <w:color w:val="0563C1" w:themeColor="hyperlink"/>
      <w:u w:val="single"/>
    </w:rPr>
  </w:style>
  <w:style w:type="character" w:styleId="Mencinsinresolver">
    <w:name w:val="Unresolved Mention"/>
    <w:basedOn w:val="Fuentedeprrafopredeter"/>
    <w:uiPriority w:val="99"/>
    <w:semiHidden/>
    <w:unhideWhenUsed/>
    <w:rsid w:val="00ED5A5A"/>
    <w:rPr>
      <w:color w:val="605E5C"/>
      <w:shd w:val="clear" w:color="auto" w:fill="E1DFDD"/>
    </w:rPr>
  </w:style>
  <w:style w:type="paragraph" w:styleId="Encabezado">
    <w:name w:val="header"/>
    <w:basedOn w:val="Normal"/>
    <w:link w:val="EncabezadoCar"/>
    <w:uiPriority w:val="99"/>
    <w:unhideWhenUsed/>
    <w:rsid w:val="008B16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1650"/>
  </w:style>
  <w:style w:type="paragraph" w:styleId="Piedepgina">
    <w:name w:val="footer"/>
    <w:basedOn w:val="Normal"/>
    <w:link w:val="PiedepginaCar"/>
    <w:uiPriority w:val="99"/>
    <w:unhideWhenUsed/>
    <w:rsid w:val="008B16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1650"/>
  </w:style>
  <w:style w:type="table" w:styleId="Tablaconcuadrcula">
    <w:name w:val="Table Grid"/>
    <w:basedOn w:val="Tablanormal"/>
    <w:uiPriority w:val="39"/>
    <w:rsid w:val="008B1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45AA9"/>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445AA9"/>
    <w:rPr>
      <w:b/>
      <w:bCs/>
    </w:rPr>
  </w:style>
  <w:style w:type="paragraph" w:customStyle="1" w:styleId="paragraph">
    <w:name w:val="paragraph"/>
    <w:basedOn w:val="Normal"/>
    <w:rsid w:val="007158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715845"/>
  </w:style>
  <w:style w:type="character" w:customStyle="1" w:styleId="eop">
    <w:name w:val="eop"/>
    <w:basedOn w:val="Fuentedeprrafopredeter"/>
    <w:rsid w:val="00715845"/>
  </w:style>
  <w:style w:type="character" w:styleId="Refdecomentario">
    <w:name w:val="annotation reference"/>
    <w:basedOn w:val="Fuentedeprrafopredeter"/>
    <w:uiPriority w:val="99"/>
    <w:semiHidden/>
    <w:unhideWhenUsed/>
    <w:rsid w:val="00EC19AD"/>
    <w:rPr>
      <w:sz w:val="16"/>
      <w:szCs w:val="16"/>
    </w:rPr>
  </w:style>
  <w:style w:type="paragraph" w:styleId="Textocomentario">
    <w:name w:val="annotation text"/>
    <w:basedOn w:val="Normal"/>
    <w:link w:val="TextocomentarioCar"/>
    <w:uiPriority w:val="99"/>
    <w:unhideWhenUsed/>
    <w:rsid w:val="00EC19AD"/>
    <w:pPr>
      <w:spacing w:line="240" w:lineRule="auto"/>
    </w:pPr>
    <w:rPr>
      <w:sz w:val="20"/>
      <w:szCs w:val="20"/>
    </w:rPr>
  </w:style>
  <w:style w:type="character" w:customStyle="1" w:styleId="TextocomentarioCar">
    <w:name w:val="Texto comentario Car"/>
    <w:basedOn w:val="Fuentedeprrafopredeter"/>
    <w:link w:val="Textocomentario"/>
    <w:uiPriority w:val="99"/>
    <w:rsid w:val="00EC19AD"/>
    <w:rPr>
      <w:sz w:val="20"/>
      <w:szCs w:val="20"/>
    </w:rPr>
  </w:style>
  <w:style w:type="paragraph" w:styleId="Asuntodelcomentario">
    <w:name w:val="annotation subject"/>
    <w:basedOn w:val="Textocomentario"/>
    <w:next w:val="Textocomentario"/>
    <w:link w:val="AsuntodelcomentarioCar"/>
    <w:uiPriority w:val="99"/>
    <w:semiHidden/>
    <w:unhideWhenUsed/>
    <w:rsid w:val="00EC19AD"/>
    <w:rPr>
      <w:b/>
      <w:bCs/>
    </w:rPr>
  </w:style>
  <w:style w:type="character" w:customStyle="1" w:styleId="AsuntodelcomentarioCar">
    <w:name w:val="Asunto del comentario Car"/>
    <w:basedOn w:val="TextocomentarioCar"/>
    <w:link w:val="Asuntodelcomentario"/>
    <w:uiPriority w:val="99"/>
    <w:semiHidden/>
    <w:rsid w:val="00EC19AD"/>
    <w:rPr>
      <w:b/>
      <w:bCs/>
      <w:sz w:val="20"/>
      <w:szCs w:val="20"/>
    </w:rPr>
  </w:style>
  <w:style w:type="paragraph" w:styleId="Prrafodelista">
    <w:name w:val="List Paragraph"/>
    <w:basedOn w:val="Normal"/>
    <w:uiPriority w:val="34"/>
    <w:qFormat/>
    <w:rsid w:val="00F06FAD"/>
    <w:pPr>
      <w:ind w:left="720"/>
      <w:contextualSpacing/>
    </w:pPr>
  </w:style>
  <w:style w:type="paragraph" w:styleId="Textodeglobo">
    <w:name w:val="Balloon Text"/>
    <w:basedOn w:val="Normal"/>
    <w:link w:val="TextodegloboCar"/>
    <w:uiPriority w:val="99"/>
    <w:semiHidden/>
    <w:unhideWhenUsed/>
    <w:rsid w:val="006657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79C"/>
    <w:rPr>
      <w:rFonts w:ascii="Segoe UI" w:hAnsi="Segoe UI" w:cs="Segoe UI"/>
      <w:sz w:val="18"/>
      <w:szCs w:val="18"/>
    </w:rPr>
  </w:style>
  <w:style w:type="paragraph" w:styleId="NormalWeb">
    <w:name w:val="Normal (Web)"/>
    <w:basedOn w:val="Normal"/>
    <w:uiPriority w:val="99"/>
    <w:semiHidden/>
    <w:unhideWhenUsed/>
    <w:rsid w:val="00593B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notapie">
    <w:name w:val="footnote text"/>
    <w:basedOn w:val="Normal"/>
    <w:link w:val="TextonotapieCar"/>
    <w:uiPriority w:val="99"/>
    <w:semiHidden/>
    <w:unhideWhenUsed/>
    <w:rsid w:val="00E64CC1"/>
    <w:pPr>
      <w:spacing w:after="0" w:line="240" w:lineRule="auto"/>
    </w:pPr>
    <w:rPr>
      <w:sz w:val="20"/>
      <w:szCs w:val="20"/>
      <w:lang w:val="pt-PT"/>
    </w:rPr>
  </w:style>
  <w:style w:type="character" w:customStyle="1" w:styleId="TextonotapieCar">
    <w:name w:val="Texto nota pie Car"/>
    <w:basedOn w:val="Fuentedeprrafopredeter"/>
    <w:link w:val="Textonotapie"/>
    <w:uiPriority w:val="99"/>
    <w:semiHidden/>
    <w:rsid w:val="00E64CC1"/>
    <w:rPr>
      <w:sz w:val="20"/>
      <w:szCs w:val="20"/>
      <w:lang w:val="pt-PT"/>
    </w:rPr>
  </w:style>
  <w:style w:type="character" w:styleId="Refdenotaalpie">
    <w:name w:val="footnote reference"/>
    <w:basedOn w:val="Fuentedeprrafopredeter"/>
    <w:uiPriority w:val="99"/>
    <w:semiHidden/>
    <w:unhideWhenUsed/>
    <w:rsid w:val="00E64CC1"/>
    <w:rPr>
      <w:vertAlign w:val="superscript"/>
    </w:rPr>
  </w:style>
  <w:style w:type="character" w:customStyle="1" w:styleId="Ttulo2Car">
    <w:name w:val="Título 2 Car"/>
    <w:basedOn w:val="Fuentedeprrafopredeter"/>
    <w:link w:val="Ttulo2"/>
    <w:uiPriority w:val="9"/>
    <w:semiHidden/>
    <w:rsid w:val="00FC39D3"/>
    <w:rPr>
      <w:rFonts w:asciiTheme="majorHAnsi" w:eastAsiaTheme="majorEastAsia" w:hAnsiTheme="majorHAnsi" w:cstheme="majorBidi"/>
      <w:color w:val="2F5496" w:themeColor="accent1" w:themeShade="BF"/>
      <w:sz w:val="26"/>
      <w:szCs w:val="26"/>
    </w:rPr>
  </w:style>
  <w:style w:type="paragraph" w:styleId="Revisin">
    <w:name w:val="Revision"/>
    <w:hidden/>
    <w:uiPriority w:val="99"/>
    <w:semiHidden/>
    <w:rsid w:val="009818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4536">
      <w:bodyDiv w:val="1"/>
      <w:marLeft w:val="0"/>
      <w:marRight w:val="0"/>
      <w:marTop w:val="0"/>
      <w:marBottom w:val="0"/>
      <w:divBdr>
        <w:top w:val="none" w:sz="0" w:space="0" w:color="auto"/>
        <w:left w:val="none" w:sz="0" w:space="0" w:color="auto"/>
        <w:bottom w:val="none" w:sz="0" w:space="0" w:color="auto"/>
        <w:right w:val="none" w:sz="0" w:space="0" w:color="auto"/>
      </w:divBdr>
    </w:div>
    <w:div w:id="595404932">
      <w:bodyDiv w:val="1"/>
      <w:marLeft w:val="0"/>
      <w:marRight w:val="0"/>
      <w:marTop w:val="0"/>
      <w:marBottom w:val="0"/>
      <w:divBdr>
        <w:top w:val="none" w:sz="0" w:space="0" w:color="auto"/>
        <w:left w:val="none" w:sz="0" w:space="0" w:color="auto"/>
        <w:bottom w:val="none" w:sz="0" w:space="0" w:color="auto"/>
        <w:right w:val="none" w:sz="0" w:space="0" w:color="auto"/>
      </w:divBdr>
    </w:div>
    <w:div w:id="859465895">
      <w:bodyDiv w:val="1"/>
      <w:marLeft w:val="0"/>
      <w:marRight w:val="0"/>
      <w:marTop w:val="0"/>
      <w:marBottom w:val="0"/>
      <w:divBdr>
        <w:top w:val="none" w:sz="0" w:space="0" w:color="auto"/>
        <w:left w:val="none" w:sz="0" w:space="0" w:color="auto"/>
        <w:bottom w:val="none" w:sz="0" w:space="0" w:color="auto"/>
        <w:right w:val="none" w:sz="0" w:space="0" w:color="auto"/>
      </w:divBdr>
    </w:div>
    <w:div w:id="1116871891">
      <w:bodyDiv w:val="1"/>
      <w:marLeft w:val="0"/>
      <w:marRight w:val="0"/>
      <w:marTop w:val="0"/>
      <w:marBottom w:val="0"/>
      <w:divBdr>
        <w:top w:val="none" w:sz="0" w:space="0" w:color="auto"/>
        <w:left w:val="none" w:sz="0" w:space="0" w:color="auto"/>
        <w:bottom w:val="none" w:sz="0" w:space="0" w:color="auto"/>
        <w:right w:val="none" w:sz="0" w:space="0" w:color="auto"/>
      </w:divBdr>
    </w:div>
    <w:div w:id="189747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twitter.com/MSCenEspana" TargetMode="External"/><Relationship Id="rId26" Type="http://schemas.openxmlformats.org/officeDocument/2006/relationships/hyperlink" Target="https://www.youtube.com/user/MSCenEspana"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msc.org/"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fao.org/home/es/" TargetMode="External"/><Relationship Id="rId20" Type="http://schemas.openxmlformats.org/officeDocument/2006/relationships/hyperlink" Target="https://www.instagram.com/mscpescasostenibl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inkedin.com/company/marine-stewardship-council/" TargetMode="External"/><Relationship Id="rId5" Type="http://schemas.openxmlformats.org/officeDocument/2006/relationships/customXml" Target="../customXml/item5.xml"/><Relationship Id="rId15" Type="http://schemas.openxmlformats.org/officeDocument/2006/relationships/hyperlink" Target="mailto:asun.talavera@msc.org"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6FEEE.D7E66340" TargetMode="External"/><Relationship Id="rId22" Type="http://schemas.openxmlformats.org/officeDocument/2006/relationships/hyperlink" Target="https://www.facebook.com/MSCPescaSostenible" TargetMode="External"/><Relationship Id="rId27"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242b3f222694370b37a2a251da74707 xmlns="230c30b3-5bf2-4424-b964-6b55c85701d3">
      <Terms xmlns="http://schemas.microsoft.com/office/infopath/2007/PartnerControls"/>
    </e242b3f222694370b37a2a251da74707>
    <Year xmlns="230c30b3-5bf2-4424-b964-6b55c85701d3">2020-2021</Year>
    <_dlc_DocId xmlns="230c30b3-5bf2-4424-b964-6b55c85701d3">MSCOUTREACH-1824297292-19156</_dlc_DocId>
    <TaxCatchAll xmlns="230c30b3-5bf2-4424-b964-6b55c85701d3">
      <Value>25</Value>
    </TaxCatchAll>
    <lc2ee1b5168640739c6af8be6b9c1c4b xmlns="230c30b3-5bf2-4424-b964-6b55c85701d3">
      <Terms xmlns="http://schemas.microsoft.com/office/infopath/2007/PartnerControls"/>
    </lc2ee1b5168640739c6af8be6b9c1c4b>
    <b49947ffe1b84f9790a0de64dfa228a4 xmlns="230c30b3-5bf2-4424-b964-6b55c85701d3">
      <Terms xmlns="http://schemas.microsoft.com/office/infopath/2007/PartnerControls">
        <TermInfo xmlns="http://schemas.microsoft.com/office/infopath/2007/PartnerControls">
          <TermName xmlns="http://schemas.microsoft.com/office/infopath/2007/PartnerControls">Spain</TermName>
          <TermId xmlns="http://schemas.microsoft.com/office/infopath/2007/PartnerControls">baeba413-e1a7-4229-b301-79f55edc744f</TermId>
        </TermInfo>
      </Terms>
    </b49947ffe1b84f9790a0de64dfa228a4>
    <_dlc_DocIdUrl xmlns="230c30b3-5bf2-4424-b964-6b55c85701d3">
      <Url>https://marinestewardshipcouncil.sharepoint.com/sites/outreach/spain/_layouts/15/DocIdRedir.aspx?ID=MSCOUTREACH-1824297292-19156</Url>
      <Description>MSCOUTREACH-1824297292-19156</Description>
    </_dlc_DocIdUrl>
    <Meeting_x0020_Date xmlns="230c30b3-5bf2-4424-b964-6b55c85701d3" xsi:nil="true"/>
    <Q_x0020_Month xmlns="230c30b3-5bf2-4424-b964-6b55c85701d3" xsi:nil="true"/>
    <SharedWithUsers xmlns="230c30b3-5bf2-4424-b964-6b55c85701d3">
      <UserInfo>
        <DisplayName>Laura Rodriguez</DisplayName>
        <AccountId>91</AccountId>
        <AccountType/>
      </UserInfo>
      <UserInfo>
        <DisplayName>Alberto Martin</DisplayName>
        <AccountId>628</AccountId>
        <AccountType/>
      </UserInfo>
      <UserInfo>
        <DisplayName>Asun Talavera</DisplayName>
        <AccountId>2106</AccountId>
        <AccountType/>
      </UserInfo>
    </SharedWithUsers>
    <lcf76f155ced4ddcb4097134ff3c332f xmlns="5875f8ad-e9bf-4cc9-9c76-a72650eeb3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Spain Document" ma:contentTypeID="0x010100BAC41A1A34208A42BE102A7EF446F4F81300CA67A6C2FD23D1479E804AD4BF68E319" ma:contentTypeVersion="25" ma:contentTypeDescription="" ma:contentTypeScope="" ma:versionID="5db9c00d121c3135b810a9b53e9b0fcb">
  <xsd:schema xmlns:xsd="http://www.w3.org/2001/XMLSchema" xmlns:xs="http://www.w3.org/2001/XMLSchema" xmlns:p="http://schemas.microsoft.com/office/2006/metadata/properties" xmlns:ns2="230c30b3-5bf2-4424-b964-6b55c85701d3" xmlns:ns3="5875f8ad-e9bf-4cc9-9c76-a72650eeb3f1" targetNamespace="http://schemas.microsoft.com/office/2006/metadata/properties" ma:root="true" ma:fieldsID="b619e131a057141156e15953221bddb3" ns2:_="" ns3:_="">
    <xsd:import namespace="230c30b3-5bf2-4424-b964-6b55c85701d3"/>
    <xsd:import namespace="5875f8ad-e9bf-4cc9-9c76-a72650eeb3f1"/>
    <xsd:element name="properties">
      <xsd:complexType>
        <xsd:sequence>
          <xsd:element name="documentManagement">
            <xsd:complexType>
              <xsd:all>
                <xsd:element ref="ns2:Meeting_x0020_Date" minOccurs="0"/>
                <xsd:element ref="ns2:Q_x0020_Month" minOccurs="0"/>
                <xsd:element ref="ns2:Year" minOccurs="0"/>
                <xsd:element ref="ns2:b49947ffe1b84f9790a0de64dfa228a4" minOccurs="0"/>
                <xsd:element ref="ns2:TaxCatchAll" minOccurs="0"/>
                <xsd:element ref="ns2:TaxCatchAllLabel" minOccurs="0"/>
                <xsd:element ref="ns2:lc2ee1b5168640739c6af8be6b9c1c4b" minOccurs="0"/>
                <xsd:element ref="ns2:e242b3f222694370b37a2a251da74707" minOccurs="0"/>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element ref="ns3:MediaServiceOCR" minOccurs="0"/>
                <xsd:element ref="ns3:MediaServiceLocation" minOccurs="0"/>
                <xsd:element ref="ns2:_dlc_DocId" minOccurs="0"/>
                <xsd:element ref="ns2:_dlc_DocIdUrl" minOccurs="0"/>
                <xsd:element ref="ns2:_dlc_DocIdPersistId"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30b3-5bf2-4424-b964-6b55c85701d3" elementFormDefault="qualified">
    <xsd:import namespace="http://schemas.microsoft.com/office/2006/documentManagement/types"/>
    <xsd:import namespace="http://schemas.microsoft.com/office/infopath/2007/PartnerControls"/>
    <xsd:element name="Meeting_x0020_Date" ma:index="4" nillable="true" ma:displayName="Meeting Date" ma:format="DateOnly" ma:internalName="Meeting_x0020_Date">
      <xsd:simpleType>
        <xsd:restriction base="dms:DateTime"/>
      </xsd:simpleType>
    </xsd:element>
    <xsd:element name="Q_x0020_Month" ma:index="5" nillable="true" ma:displayName="Q Month" ma:format="Dropdown" ma:internalName="Q_x0020_Month">
      <xsd:simpleType>
        <xsd:restriction base="dms:Choice">
          <xsd:enumeration value="Q1"/>
          <xsd:enumeration value="1. April"/>
          <xsd:enumeration value="2. May"/>
          <xsd:enumeration value="3. June"/>
          <xsd:enumeration value="Q2"/>
          <xsd:enumeration value="4. July"/>
          <xsd:enumeration value="5. August"/>
          <xsd:enumeration value="6. September"/>
          <xsd:enumeration value="Q3"/>
          <xsd:enumeration value="7. October"/>
          <xsd:enumeration value="8. November"/>
          <xsd:enumeration value="9. December"/>
          <xsd:enumeration value="Q4"/>
          <xsd:enumeration value="10. January"/>
          <xsd:enumeration value="11. February"/>
          <xsd:enumeration value="12. March"/>
        </xsd:restriction>
      </xsd:simpleType>
    </xsd:element>
    <xsd:element name="Year" ma:index="6" nillable="true" ma:displayName="Year" ma:default="2020-2021" ma:format="Dropdown" ma:internalName="Year">
      <xsd:simpleType>
        <xsd:restriction base="dms:Choice">
          <xsd:enumeration value="2009"/>
          <xsd:enumeration value="2011"/>
          <xsd:enumeration value="2012"/>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b49947ffe1b84f9790a0de64dfa228a4" ma:index="8" nillable="true" ma:taxonomy="true" ma:internalName="b49947ffe1b84f9790a0de64dfa228a4" ma:taxonomyFieldName="MSC_x0020_Location" ma:displayName="MSC Location" ma:readOnly="false" ma:default="1;#Singapore|4020934d-d5a3-494b-bde9-12d6d3b98541" ma:fieldId="{b49947ff-e1b8-4f97-90a0-de64dfa228a4}"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26ddb67-7561-45d9-bb13-5d2d8ab8f5b1}" ma:internalName="TaxCatchAll" ma:showField="CatchAllData"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26ddb67-7561-45d9-bb13-5d2d8ab8f5b1}" ma:internalName="TaxCatchAllLabel" ma:readOnly="true" ma:showField="CatchAllDataLabel"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lc2ee1b5168640739c6af8be6b9c1c4b" ma:index="14" nillable="true" ma:taxonomy="true" ma:internalName="lc2ee1b5168640739c6af8be6b9c1c4b" ma:taxonomyFieldName="Outreach_x0020_Doc_x0020_Type" ma:displayName="Outreach Doc Type" ma:default="" ma:fieldId="{5c2ee1b5-1686-4073-9c6a-f8be6b9c1c4b}" ma:sspId="1b199611-8856-41f6-9a1b-e76f78ab8edd" ma:termSetId="a027094f-a348-4905-846d-9c38e25da0ef" ma:anchorId="00000000-0000-0000-0000-000000000000" ma:open="false" ma:isKeyword="false">
      <xsd:complexType>
        <xsd:sequence>
          <xsd:element ref="pc:Terms" minOccurs="0" maxOccurs="1"/>
        </xsd:sequence>
      </xsd:complexType>
    </xsd:element>
    <xsd:element name="e242b3f222694370b37a2a251da74707" ma:index="17" nillable="true" ma:taxonomy="true" ma:internalName="e242b3f222694370b37a2a251da74707" ma:taxonomyFieldName="Outreach_x0020_Category" ma:displayName="Outreach Category" ma:default="" ma:fieldId="{e242b3f2-2269-4370-b37a-2a251da74707}" ma:sspId="1b199611-8856-41f6-9a1b-e76f78ab8edd" ma:termSetId="d064fb88-8834-4766-9621-b1d7b50354cc"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75f8ad-e9bf-4cc9-9c76-a72650eeb3f1"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301ED-0443-4BC5-ABEA-404B348956B3}">
  <ds:schemaRefs>
    <ds:schemaRef ds:uri="http://schemas.microsoft.com/office/2006/metadata/properties"/>
    <ds:schemaRef ds:uri="http://schemas.microsoft.com/office/infopath/2007/PartnerControls"/>
    <ds:schemaRef ds:uri="230c30b3-5bf2-4424-b964-6b55c85701d3"/>
    <ds:schemaRef ds:uri="5875f8ad-e9bf-4cc9-9c76-a72650eeb3f1"/>
  </ds:schemaRefs>
</ds:datastoreItem>
</file>

<file path=customXml/itemProps2.xml><?xml version="1.0" encoding="utf-8"?>
<ds:datastoreItem xmlns:ds="http://schemas.openxmlformats.org/officeDocument/2006/customXml" ds:itemID="{5A924E1C-0D18-4775-9F1F-797F221F9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30b3-5bf2-4424-b964-6b55c85701d3"/>
    <ds:schemaRef ds:uri="5875f8ad-e9bf-4cc9-9c76-a72650eeb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3EA48-6A23-48AE-BDC3-6CAC66050657}">
  <ds:schemaRefs>
    <ds:schemaRef ds:uri="http://schemas.microsoft.com/sharepoint/v3/contenttype/forms"/>
  </ds:schemaRefs>
</ds:datastoreItem>
</file>

<file path=customXml/itemProps4.xml><?xml version="1.0" encoding="utf-8"?>
<ds:datastoreItem xmlns:ds="http://schemas.openxmlformats.org/officeDocument/2006/customXml" ds:itemID="{BC08C387-6F98-4DCE-AFF7-464B59A79BC5}">
  <ds:schemaRefs>
    <ds:schemaRef ds:uri="http://schemas.microsoft.com/sharepoint/events"/>
  </ds:schemaRefs>
</ds:datastoreItem>
</file>

<file path=customXml/itemProps5.xml><?xml version="1.0" encoding="utf-8"?>
<ds:datastoreItem xmlns:ds="http://schemas.openxmlformats.org/officeDocument/2006/customXml" ds:itemID="{94B8CDAC-6EBD-4127-B830-C776C64D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1136</Words>
  <Characters>6254</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Nekane Alzorriz - ANABAC</dc:creator>
  <cp:keywords/>
  <dc:description/>
  <cp:lastModifiedBy>Laura Rodriguez</cp:lastModifiedBy>
  <cp:revision>11</cp:revision>
  <cp:lastPrinted>2021-06-14T12:10:00Z</cp:lastPrinted>
  <dcterms:created xsi:type="dcterms:W3CDTF">2024-01-30T16:38:00Z</dcterms:created>
  <dcterms:modified xsi:type="dcterms:W3CDTF">2024-01-31T07:53:00Z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reach_x0020_Category">
    <vt:lpwstr/>
  </property>
  <property fmtid="{D5CDD505-2E9C-101B-9397-08002B2CF9AE}" pid="3" name="ContentTypeId">
    <vt:lpwstr>0x010100BAC41A1A34208A42BE102A7EF446F4F81300CA67A6C2FD23D1479E804AD4BF68E319</vt:lpwstr>
  </property>
  <property fmtid="{D5CDD505-2E9C-101B-9397-08002B2CF9AE}" pid="4" name="Outreach_x0020_Doc_x0020_Type">
    <vt:lpwstr/>
  </property>
  <property fmtid="{D5CDD505-2E9C-101B-9397-08002B2CF9AE}" pid="5" name="MSC Location">
    <vt:lpwstr>25;#Spain|baeba413-e1a7-4229-b301-79f55edc744f</vt:lpwstr>
  </property>
  <property fmtid="{D5CDD505-2E9C-101B-9397-08002B2CF9AE}" pid="6" name="_dlc_DocIdItemGuid">
    <vt:lpwstr>acbe8f3c-688a-4919-bcad-f7c68e3b61a4</vt:lpwstr>
  </property>
  <property fmtid="{D5CDD505-2E9C-101B-9397-08002B2CF9AE}" pid="7" name="Outreach Doc Type">
    <vt:lpwstr/>
  </property>
  <property fmtid="{D5CDD505-2E9C-101B-9397-08002B2CF9AE}" pid="8" name="Outreach Category">
    <vt:lpwstr/>
  </property>
  <property fmtid="{D5CDD505-2E9C-101B-9397-08002B2CF9AE}" pid="9" name="MediaServiceImageTags">
    <vt:lpwstr/>
  </property>
</Properties>
</file>